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8062D" w14:textId="14EDCC13" w:rsidR="00630F08" w:rsidRPr="0074439B" w:rsidRDefault="00630F08" w:rsidP="0074439B">
      <w:pPr>
        <w:widowControl/>
        <w:jc w:val="center"/>
      </w:pPr>
      <w:r>
        <w:t>DISCLAIMER</w:t>
      </w:r>
    </w:p>
    <w:p w14:paraId="34F7533A" w14:textId="77777777" w:rsidR="00630F08" w:rsidRDefault="00630F08" w:rsidP="00F41CB1">
      <w:pPr>
        <w:widowControl/>
        <w:rPr>
          <w:b/>
          <w:bCs/>
          <w:u w:val="single"/>
        </w:rPr>
      </w:pPr>
    </w:p>
    <w:p w14:paraId="285E570B" w14:textId="01BAB246" w:rsidR="00F41CB1" w:rsidRDefault="00F41CB1" w:rsidP="00F41CB1">
      <w:pPr>
        <w:widowControl/>
        <w:rPr>
          <w:b/>
          <w:bCs/>
          <w:u w:val="single"/>
        </w:rPr>
      </w:pPr>
      <w:r>
        <w:rPr>
          <w:b/>
          <w:bCs/>
          <w:u w:val="single"/>
        </w:rPr>
        <w:t xml:space="preserve">Any person using the Template shall be deemed to have read, understood and agreed to the terms set out below: </w:t>
      </w:r>
    </w:p>
    <w:p w14:paraId="7255D1D6" w14:textId="77777777" w:rsidR="00630F08" w:rsidRDefault="00630F08" w:rsidP="0074439B">
      <w:pPr>
        <w:widowControl/>
        <w:rPr>
          <w:rFonts w:ascii="Sabon" w:hAnsi="Sabon"/>
          <w:b/>
          <w:bCs/>
          <w:sz w:val="20"/>
        </w:rPr>
      </w:pPr>
    </w:p>
    <w:p w14:paraId="463DFC6A" w14:textId="4B9A2B23" w:rsidR="00F41CB1" w:rsidRDefault="00F41CB1" w:rsidP="00F41CB1">
      <w:pPr>
        <w:spacing w:after="220"/>
        <w:ind w:left="778" w:hanging="778"/>
        <w:rPr>
          <w:rFonts w:ascii="Calibri" w:hAnsi="Calibri"/>
        </w:rPr>
      </w:pPr>
      <w:r>
        <w:t>(i)              This document Template ("Template") is provided solely as a guide and is not intended to be, and must not be regarded or relied upon as, legal or other professional advice or opinions on any matters.  Use of the Template is voluntary. You are advised to seek your own professional advice as necessary.</w:t>
      </w:r>
    </w:p>
    <w:p w14:paraId="2665AD4A" w14:textId="6A5564F1" w:rsidR="00F41CB1" w:rsidRDefault="00F41CB1" w:rsidP="0074439B">
      <w:pPr>
        <w:spacing w:after="220"/>
        <w:ind w:left="778" w:hanging="778"/>
      </w:pPr>
      <w:r>
        <w:t xml:space="preserve">(ii)             All market participants </w:t>
      </w:r>
      <w:r w:rsidR="00630F08">
        <w:t xml:space="preserve">executing a “written agreement” to fulfill obligations under </w:t>
      </w:r>
      <w:r w:rsidR="008E0036">
        <w:t>p</w:t>
      </w:r>
      <w:r w:rsidR="00630F08" w:rsidRPr="00630F08">
        <w:t>aragraph 21 of the Code of Conduct for Persons Licensed by or Registered with the Securities and Futures Commission</w:t>
      </w:r>
      <w:r w:rsidR="00630F08">
        <w:t xml:space="preserve"> </w:t>
      </w:r>
      <w:r>
        <w:t xml:space="preserve">are responsible for exercising their own independent judgment as to: (a) what information, and in what form, they should require the company/seller/manager to comply with their legal and regulatory obligations; (b) the sufficiency, accuracy, completeness and relevance of any information provided by any company/seller/manager; and (c) whether a particular agreement </w:t>
      </w:r>
      <w:r w:rsidR="00630F08">
        <w:t xml:space="preserve">or mode of execution </w:t>
      </w:r>
      <w:r>
        <w:t>is appropriate under the particular circumstances and conditions applicable to them.</w:t>
      </w:r>
    </w:p>
    <w:p w14:paraId="25B5BF75" w14:textId="63B8AB85" w:rsidR="00F41CB1" w:rsidRDefault="00F41CB1" w:rsidP="00F41CB1">
      <w:pPr>
        <w:spacing w:after="220"/>
        <w:ind w:left="778" w:hanging="778"/>
      </w:pPr>
      <w:r>
        <w:t>(i</w:t>
      </w:r>
      <w:r w:rsidR="00630F08">
        <w:t>ii</w:t>
      </w:r>
      <w:r>
        <w:t>)            Any description of legal or regulatory provisions in the Template is for informational and summary purposes only and is not intended to convey the full extent or details of regulatory obligations that may apply to any firm or individual. Any persons using this Template are encouraged to undertake their own review of relevant laws, rules, codes, guidelines and circulars and other materials, and are responsible for making their own determination as to their legal and regulatory obligations.</w:t>
      </w:r>
    </w:p>
    <w:p w14:paraId="40E17D98" w14:textId="23DCDE17" w:rsidR="008B7E93" w:rsidRDefault="00F41CB1" w:rsidP="008B7E93">
      <w:pPr>
        <w:spacing w:after="220"/>
        <w:ind w:left="778" w:hanging="778"/>
      </w:pPr>
      <w:r>
        <w:t>(v)             ASIFMA, its member firms and any other persons who have contributed to the development of the Template: (a) accept no responsibility or liability in any form for any errors or omissions in the Template or for any losses or damages howsoever arising from, including any act or inaction in reliance on, any of its contents or omissions; (b) make no representations or warranties of any kind and specifically disclaim any implied representations or warranties of merchantability, fitness for a particular purpose, completeness or accuracy of the Template; (c) make no representations that the use of or reference to the Template will satisfy any legal, regulatory or other obligations; and (d) disclaim any on-going duty or obligation to update or revise the Template or notify any persons of changes to laws, regulations or regulatory guidance that may affect the use or application of the Template.</w:t>
      </w:r>
    </w:p>
    <w:p w14:paraId="41D5D91B" w14:textId="77D43EAE" w:rsidR="00630F08" w:rsidRDefault="00F41CB1" w:rsidP="00F41CB1">
      <w:pPr>
        <w:spacing w:after="220"/>
      </w:pPr>
      <w:r>
        <w:t>The Template has been created for the benefit of all industry participants. It is not owned, copyrighted or protected by ASIFMA.</w:t>
      </w:r>
    </w:p>
    <w:p w14:paraId="247585C9" w14:textId="77777777" w:rsidR="00630F08" w:rsidRDefault="00630F08">
      <w:pPr>
        <w:widowControl/>
      </w:pPr>
      <w:r>
        <w:br w:type="page"/>
      </w:r>
    </w:p>
    <w:p w14:paraId="12A8FBE5" w14:textId="77777777" w:rsidR="00F41CB1" w:rsidRDefault="00F41CB1" w:rsidP="00F41CB1">
      <w:pPr>
        <w:spacing w:after="220"/>
      </w:pPr>
    </w:p>
    <w:p w14:paraId="1E674C1E" w14:textId="6955C6C9" w:rsidR="00D3416E" w:rsidRDefault="0054627D" w:rsidP="004B4D44">
      <w:pPr>
        <w:jc w:val="both"/>
        <w:rPr>
          <w:b/>
        </w:rPr>
      </w:pPr>
      <w:r>
        <w:rPr>
          <w:b/>
        </w:rPr>
        <w:t>OC/</w:t>
      </w:r>
      <w:r w:rsidR="0044522C">
        <w:rPr>
          <w:b/>
        </w:rPr>
        <w:t>S</w:t>
      </w:r>
      <w:r>
        <w:rPr>
          <w:b/>
        </w:rPr>
        <w:t xml:space="preserve">CMI </w:t>
      </w:r>
      <w:r w:rsidR="00406BC0">
        <w:rPr>
          <w:b/>
        </w:rPr>
        <w:t>Short Form Appointment Letter</w:t>
      </w:r>
      <w:r w:rsidR="00716481">
        <w:rPr>
          <w:b/>
        </w:rPr>
        <w:t xml:space="preserve"> – Hong Kong </w:t>
      </w:r>
    </w:p>
    <w:p w14:paraId="7BDFE094" w14:textId="2BE2159C" w:rsidR="00CD1489" w:rsidRPr="004B4D44" w:rsidRDefault="00CD1489" w:rsidP="004B4D44">
      <w:pPr>
        <w:jc w:val="both"/>
      </w:pPr>
      <w:bookmarkStart w:id="0" w:name="_Hlk109201150"/>
      <w:r>
        <w:rPr>
          <w:b/>
        </w:rPr>
        <w:t xml:space="preserve">Pursuant to </w:t>
      </w:r>
      <w:r w:rsidR="008E0036">
        <w:rPr>
          <w:b/>
        </w:rPr>
        <w:t>p</w:t>
      </w:r>
      <w:r>
        <w:rPr>
          <w:b/>
        </w:rPr>
        <w:t>aragraph 21 of the Code of Conduct for Persons Licensed by or Registered with the Securities and Futures Commission</w:t>
      </w:r>
      <w:bookmarkEnd w:id="0"/>
      <w:r>
        <w:rPr>
          <w:b/>
        </w:rPr>
        <w:t xml:space="preserve"> (the “Code”)</w:t>
      </w:r>
    </w:p>
    <w:p w14:paraId="56B78B1F" w14:textId="77777777" w:rsidR="00D3416E" w:rsidRDefault="00D3416E">
      <w:pPr>
        <w:pStyle w:val="line1"/>
      </w:pPr>
    </w:p>
    <w:p w14:paraId="5A60F9C1" w14:textId="77777777" w:rsidR="00D3416E" w:rsidRDefault="00D3416E"/>
    <w:p w14:paraId="555A449E" w14:textId="77777777" w:rsidR="00CD1489" w:rsidRPr="00716481" w:rsidRDefault="00CD1489">
      <w:pPr>
        <w:rPr>
          <w:b/>
          <w:bCs/>
          <w:i/>
          <w:iCs/>
        </w:rPr>
      </w:pPr>
      <w:r w:rsidRPr="00716481">
        <w:rPr>
          <w:b/>
          <w:bCs/>
          <w:i/>
          <w:iCs/>
        </w:rPr>
        <w:t>Instructions for use:</w:t>
      </w:r>
    </w:p>
    <w:p w14:paraId="030743A2" w14:textId="3AB391FD" w:rsidR="00CD1489" w:rsidRPr="00716481" w:rsidRDefault="00CD1489" w:rsidP="00CD1489">
      <w:pPr>
        <w:numPr>
          <w:ilvl w:val="0"/>
          <w:numId w:val="32"/>
        </w:numPr>
        <w:rPr>
          <w:i/>
          <w:iCs/>
        </w:rPr>
      </w:pPr>
      <w:r w:rsidRPr="00716481">
        <w:rPr>
          <w:i/>
          <w:iCs/>
        </w:rPr>
        <w:t xml:space="preserve">Below is proposed text for a form of agreement to be used to confirm the appointment of an OC or </w:t>
      </w:r>
      <w:r w:rsidR="0044522C">
        <w:rPr>
          <w:i/>
          <w:iCs/>
        </w:rPr>
        <w:t xml:space="preserve">Syndicate </w:t>
      </w:r>
      <w:r w:rsidRPr="00716481">
        <w:rPr>
          <w:i/>
          <w:iCs/>
        </w:rPr>
        <w:t xml:space="preserve">CMI by an issuer in connection with a capital markets offering pursuant to </w:t>
      </w:r>
      <w:r w:rsidR="008E0036">
        <w:rPr>
          <w:i/>
          <w:iCs/>
        </w:rPr>
        <w:t>p</w:t>
      </w:r>
      <w:r w:rsidRPr="00716481">
        <w:rPr>
          <w:i/>
          <w:iCs/>
        </w:rPr>
        <w:t>aragraphs 21.3.2 and 21.4.1 of the Code.</w:t>
      </w:r>
    </w:p>
    <w:p w14:paraId="48BA5659" w14:textId="07E67901" w:rsidR="00CD1489" w:rsidRPr="00716481" w:rsidRDefault="00A90827" w:rsidP="00CD1489">
      <w:pPr>
        <w:numPr>
          <w:ilvl w:val="0"/>
          <w:numId w:val="32"/>
        </w:numPr>
        <w:rPr>
          <w:i/>
          <w:iCs/>
        </w:rPr>
      </w:pPr>
      <w:r w:rsidRPr="00716481">
        <w:rPr>
          <w:i/>
          <w:iCs/>
        </w:rPr>
        <w:t>The form should be modified to reflect the specific</w:t>
      </w:r>
      <w:r w:rsidR="00387B42">
        <w:rPr>
          <w:i/>
          <w:iCs/>
        </w:rPr>
        <w:t xml:space="preserve"> circumstances</w:t>
      </w:r>
      <w:r w:rsidRPr="00716481">
        <w:rPr>
          <w:i/>
          <w:iCs/>
        </w:rPr>
        <w:t xml:space="preserve"> of the </w:t>
      </w:r>
      <w:r w:rsidR="00BA2779" w:rsidRPr="00716481">
        <w:rPr>
          <w:i/>
          <w:iCs/>
        </w:rPr>
        <w:t>mandate</w:t>
      </w:r>
      <w:r w:rsidRPr="00716481">
        <w:rPr>
          <w:i/>
          <w:iCs/>
        </w:rPr>
        <w:t xml:space="preserve">, including designation of the role (e.g., OC, </w:t>
      </w:r>
      <w:r w:rsidR="0044522C">
        <w:rPr>
          <w:i/>
          <w:iCs/>
        </w:rPr>
        <w:t>S</w:t>
      </w:r>
      <w:r w:rsidRPr="00716481">
        <w:rPr>
          <w:i/>
          <w:iCs/>
        </w:rPr>
        <w:t xml:space="preserve">CMI), roles and responsibilities of </w:t>
      </w:r>
      <w:r w:rsidR="00387B42">
        <w:rPr>
          <w:i/>
          <w:iCs/>
        </w:rPr>
        <w:t>designated roles</w:t>
      </w:r>
      <w:r w:rsidRPr="00716481">
        <w:rPr>
          <w:i/>
          <w:iCs/>
        </w:rPr>
        <w:t>, the fee arrangements and fee payment schedule.</w:t>
      </w:r>
    </w:p>
    <w:p w14:paraId="2F8F6C87" w14:textId="77777777" w:rsidR="00A90827" w:rsidRPr="00716481" w:rsidRDefault="00BA2779" w:rsidP="00CD1489">
      <w:pPr>
        <w:numPr>
          <w:ilvl w:val="0"/>
          <w:numId w:val="32"/>
        </w:numPr>
        <w:rPr>
          <w:i/>
          <w:iCs/>
        </w:rPr>
      </w:pPr>
      <w:r w:rsidRPr="00716481">
        <w:rPr>
          <w:i/>
          <w:iCs/>
        </w:rPr>
        <w:t>This form includes language that is in [brackets] that may be considered optional depending on the circumstances.</w:t>
      </w:r>
    </w:p>
    <w:p w14:paraId="2C433982" w14:textId="77777777" w:rsidR="00E26D75" w:rsidRPr="00716481" w:rsidRDefault="00E26D75" w:rsidP="00CD1489">
      <w:pPr>
        <w:numPr>
          <w:ilvl w:val="0"/>
          <w:numId w:val="32"/>
        </w:numPr>
        <w:rPr>
          <w:i/>
          <w:iCs/>
        </w:rPr>
      </w:pPr>
      <w:r w:rsidRPr="00716481">
        <w:rPr>
          <w:i/>
          <w:iCs/>
        </w:rPr>
        <w:t>Delete all footnotes and drafting instructions before sending to an issuer.</w:t>
      </w:r>
    </w:p>
    <w:p w14:paraId="2A01E820" w14:textId="281B05DD" w:rsidR="00BA2779" w:rsidRPr="00716481" w:rsidRDefault="00BA2779" w:rsidP="00917C2A">
      <w:pPr>
        <w:numPr>
          <w:ilvl w:val="0"/>
          <w:numId w:val="32"/>
        </w:numPr>
        <w:rPr>
          <w:i/>
          <w:iCs/>
        </w:rPr>
      </w:pPr>
      <w:r w:rsidRPr="00716481">
        <w:rPr>
          <w:i/>
          <w:iCs/>
        </w:rPr>
        <w:t xml:space="preserve">It is </w:t>
      </w:r>
      <w:r w:rsidR="00091BE2">
        <w:rPr>
          <w:i/>
          <w:iCs/>
        </w:rPr>
        <w:t>contemplated</w:t>
      </w:r>
      <w:r w:rsidR="00091BE2" w:rsidRPr="00716481">
        <w:rPr>
          <w:i/>
          <w:iCs/>
        </w:rPr>
        <w:t xml:space="preserve"> </w:t>
      </w:r>
      <w:r w:rsidRPr="00716481">
        <w:rPr>
          <w:i/>
          <w:iCs/>
        </w:rPr>
        <w:t xml:space="preserve">that </w:t>
      </w:r>
      <w:r w:rsidR="00091BE2">
        <w:rPr>
          <w:i/>
          <w:iCs/>
        </w:rPr>
        <w:t xml:space="preserve">this form may be used to create </w:t>
      </w:r>
      <w:r w:rsidRPr="00716481">
        <w:rPr>
          <w:i/>
          <w:iCs/>
        </w:rPr>
        <w:t>a written agreement to be signed by each of the parties</w:t>
      </w:r>
      <w:r w:rsidR="00091BE2">
        <w:rPr>
          <w:i/>
          <w:iCs/>
        </w:rPr>
        <w:t xml:space="preserve"> or formatted </w:t>
      </w:r>
      <w:r w:rsidRPr="00716481">
        <w:rPr>
          <w:i/>
          <w:iCs/>
        </w:rPr>
        <w:t xml:space="preserve">into the body of an email </w:t>
      </w:r>
      <w:r w:rsidR="00091BE2">
        <w:rPr>
          <w:i/>
          <w:iCs/>
        </w:rPr>
        <w:t>to be</w:t>
      </w:r>
      <w:r w:rsidRPr="00716481">
        <w:rPr>
          <w:i/>
          <w:iCs/>
        </w:rPr>
        <w:t xml:space="preserve"> agreed to by authorized representatives of each party.</w:t>
      </w:r>
      <w:r w:rsidRPr="00716481">
        <w:rPr>
          <w:rStyle w:val="FootnoteReference"/>
          <w:i/>
          <w:iCs/>
        </w:rPr>
        <w:footnoteReference w:id="2"/>
      </w:r>
    </w:p>
    <w:p w14:paraId="2632DA6F" w14:textId="77777777" w:rsidR="00D3416E" w:rsidRDefault="00D3416E">
      <w:pPr>
        <w:jc w:val="both"/>
      </w:pPr>
    </w:p>
    <w:p w14:paraId="07F2A0C1" w14:textId="77777777" w:rsidR="00BA2779" w:rsidRDefault="00BA2779" w:rsidP="00917C2A">
      <w:pPr>
        <w:jc w:val="center"/>
      </w:pPr>
      <w:r>
        <w:t>***</w:t>
      </w:r>
    </w:p>
    <w:p w14:paraId="020DCA15" w14:textId="77777777" w:rsidR="00D3416E" w:rsidRDefault="00D3416E">
      <w:pPr>
        <w:jc w:val="both"/>
      </w:pPr>
    </w:p>
    <w:p w14:paraId="660E436B" w14:textId="77777777" w:rsidR="00E26D75" w:rsidRDefault="00E26D75" w:rsidP="00917C2A">
      <w:pPr>
        <w:jc w:val="right"/>
      </w:pPr>
      <w:r>
        <w:t>[Date]</w:t>
      </w:r>
    </w:p>
    <w:p w14:paraId="4C3D5E21" w14:textId="47B93858" w:rsidR="00D3416E" w:rsidRDefault="00D3416E">
      <w:pPr>
        <w:jc w:val="both"/>
      </w:pPr>
      <w:r>
        <w:t>[Name of Company]</w:t>
      </w:r>
      <w:r w:rsidR="003F5804">
        <w:rPr>
          <w:rStyle w:val="FootnoteReference"/>
        </w:rPr>
        <w:footnoteReference w:id="3"/>
      </w:r>
    </w:p>
    <w:p w14:paraId="6950E4F0" w14:textId="77777777" w:rsidR="00D3416E" w:rsidRDefault="00D3416E">
      <w:pPr>
        <w:jc w:val="both"/>
      </w:pPr>
      <w:r>
        <w:t>[Address]</w:t>
      </w:r>
    </w:p>
    <w:p w14:paraId="5F6BB9EE" w14:textId="77777777" w:rsidR="00D3416E" w:rsidRDefault="00D3416E">
      <w:pPr>
        <w:jc w:val="both"/>
      </w:pPr>
      <w:r>
        <w:t>[Address]</w:t>
      </w:r>
    </w:p>
    <w:p w14:paraId="42C8CB22" w14:textId="77777777" w:rsidR="00D3416E" w:rsidRDefault="00D3416E">
      <w:pPr>
        <w:jc w:val="both"/>
      </w:pPr>
    </w:p>
    <w:p w14:paraId="2C25B1DE" w14:textId="77777777" w:rsidR="00D3416E" w:rsidRDefault="00D3416E">
      <w:pPr>
        <w:jc w:val="both"/>
      </w:pPr>
      <w:r>
        <w:t xml:space="preserve">Attention: [   ] </w:t>
      </w:r>
    </w:p>
    <w:p w14:paraId="3D25554F" w14:textId="77777777" w:rsidR="00D3416E" w:rsidRDefault="00D3416E">
      <w:pPr>
        <w:jc w:val="both"/>
      </w:pPr>
    </w:p>
    <w:p w14:paraId="5C46925C" w14:textId="22407577" w:rsidR="00D3416E" w:rsidRDefault="00387B42">
      <w:pPr>
        <w:jc w:val="both"/>
      </w:pPr>
      <w:r>
        <w:t>[</w:t>
      </w:r>
      <w:r w:rsidRPr="00AC1547">
        <w:rPr>
          <w:i/>
          <w:iCs/>
        </w:rPr>
        <w:t>Addressee(s)</w:t>
      </w:r>
      <w:r>
        <w:t>]</w:t>
      </w:r>
      <w:r w:rsidR="00D3416E">
        <w:t>:</w:t>
      </w:r>
    </w:p>
    <w:p w14:paraId="1A69CB62" w14:textId="77777777" w:rsidR="00D3416E" w:rsidRDefault="00D3416E">
      <w:pPr>
        <w:jc w:val="both"/>
      </w:pPr>
    </w:p>
    <w:p w14:paraId="67AC4105" w14:textId="7D4F4A0A" w:rsidR="00D3416E" w:rsidRDefault="00D3416E">
      <w:r>
        <w:rPr>
          <w:b/>
        </w:rPr>
        <w:t>Overview</w:t>
      </w:r>
      <w:r w:rsidR="003C0EB4">
        <w:rPr>
          <w:b/>
        </w:rPr>
        <w:t>/Appointment</w:t>
      </w:r>
      <w:r w:rsidR="00891CFA">
        <w:rPr>
          <w:b/>
        </w:rPr>
        <w:t xml:space="preserve"> of </w:t>
      </w:r>
      <w:r w:rsidR="00147106">
        <w:rPr>
          <w:b/>
        </w:rPr>
        <w:t>[</w:t>
      </w:r>
      <w:r w:rsidR="004868D5">
        <w:rPr>
          <w:b/>
        </w:rPr>
        <w:t xml:space="preserve">Syndicate </w:t>
      </w:r>
      <w:r w:rsidR="00891CFA">
        <w:rPr>
          <w:b/>
        </w:rPr>
        <w:t>Capital Markets Intermediary</w:t>
      </w:r>
      <w:r w:rsidR="00147106">
        <w:rPr>
          <w:b/>
        </w:rPr>
        <w:t>]/</w:t>
      </w:r>
      <w:r w:rsidR="00891CFA">
        <w:rPr>
          <w:b/>
        </w:rPr>
        <w:t>[Overall Coordinator</w:t>
      </w:r>
      <w:r w:rsidR="00147106">
        <w:rPr>
          <w:b/>
        </w:rPr>
        <w:t xml:space="preserve"> and Syndicate Capital Markets Intermediary</w:t>
      </w:r>
      <w:r w:rsidR="00891CFA">
        <w:rPr>
          <w:b/>
        </w:rPr>
        <w:t>]]</w:t>
      </w:r>
    </w:p>
    <w:p w14:paraId="56475586" w14:textId="77777777" w:rsidR="00D3416E" w:rsidRDefault="00D3416E"/>
    <w:p w14:paraId="09A8E76D" w14:textId="1DE71EB0" w:rsidR="004868D5" w:rsidRDefault="000E2D73">
      <w:pPr>
        <w:jc w:val="both"/>
      </w:pPr>
      <w:r>
        <w:t>We are</w:t>
      </w:r>
      <w:r w:rsidR="00D3416E">
        <w:t xml:space="preserve"> pleased to confirm our appointment by [Name of </w:t>
      </w:r>
      <w:r w:rsidR="002B2489">
        <w:t>issuer client</w:t>
      </w:r>
      <w:r w:rsidR="00D3416E">
        <w:t xml:space="preserve">] (the “Company”) in </w:t>
      </w:r>
      <w:r w:rsidR="002B2489">
        <w:t xml:space="preserve">connection with </w:t>
      </w:r>
      <w:r>
        <w:t xml:space="preserve">its </w:t>
      </w:r>
      <w:r w:rsidR="00D3416E">
        <w:t xml:space="preserve">proposed </w:t>
      </w:r>
      <w:r w:rsidR="00BC42D5">
        <w:t xml:space="preserve">Offering </w:t>
      </w:r>
      <w:r w:rsidR="004868D5">
        <w:t>as follows:</w:t>
      </w:r>
    </w:p>
    <w:p w14:paraId="2FC2E9BC" w14:textId="77777777" w:rsidR="004868D5" w:rsidRPr="004868D5" w:rsidRDefault="004868D5" w:rsidP="004868D5">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5319"/>
      </w:tblGrid>
      <w:tr w:rsidR="004868D5" w:rsidRPr="00134480" w14:paraId="5C309BFD" w14:textId="77777777" w:rsidTr="00134480">
        <w:tc>
          <w:tcPr>
            <w:tcW w:w="3775" w:type="dxa"/>
            <w:shd w:val="clear" w:color="auto" w:fill="auto"/>
          </w:tcPr>
          <w:p w14:paraId="638DA06B" w14:textId="77777777" w:rsidR="004868D5" w:rsidRPr="00134480" w:rsidRDefault="004868D5" w:rsidP="00134480">
            <w:pPr>
              <w:jc w:val="both"/>
              <w:rPr>
                <w:lang w:val="en-GB"/>
              </w:rPr>
            </w:pPr>
            <w:r w:rsidRPr="00134480">
              <w:rPr>
                <w:lang w:val="en-GB"/>
              </w:rPr>
              <w:t>Name of intermediary:</w:t>
            </w:r>
          </w:p>
        </w:tc>
        <w:tc>
          <w:tcPr>
            <w:tcW w:w="5575" w:type="dxa"/>
            <w:shd w:val="clear" w:color="auto" w:fill="auto"/>
          </w:tcPr>
          <w:p w14:paraId="4B5021E1" w14:textId="77777777" w:rsidR="004868D5" w:rsidRPr="00134480" w:rsidRDefault="004868D5" w:rsidP="00134480">
            <w:pPr>
              <w:jc w:val="both"/>
              <w:rPr>
                <w:i/>
                <w:iCs/>
                <w:lang w:val="en-GB"/>
              </w:rPr>
            </w:pPr>
            <w:r w:rsidRPr="00134480">
              <w:rPr>
                <w:i/>
                <w:iCs/>
                <w:lang w:val="en-GB"/>
              </w:rPr>
              <w:t>[Name of financial institution]</w:t>
            </w:r>
            <w:r w:rsidR="000E2D73" w:rsidRPr="00134480">
              <w:rPr>
                <w:i/>
                <w:iCs/>
                <w:lang w:val="en-GB"/>
              </w:rPr>
              <w:t xml:space="preserve"> (“[short form name]”)</w:t>
            </w:r>
          </w:p>
        </w:tc>
      </w:tr>
      <w:tr w:rsidR="004868D5" w:rsidRPr="00134480" w14:paraId="54DBB8C9" w14:textId="77777777" w:rsidTr="00134480">
        <w:tc>
          <w:tcPr>
            <w:tcW w:w="3775" w:type="dxa"/>
            <w:shd w:val="clear" w:color="auto" w:fill="auto"/>
          </w:tcPr>
          <w:p w14:paraId="4FDD1E4A" w14:textId="77777777" w:rsidR="004868D5" w:rsidRPr="00134480" w:rsidRDefault="004868D5" w:rsidP="00134480">
            <w:pPr>
              <w:jc w:val="both"/>
              <w:rPr>
                <w:lang w:val="en-GB"/>
              </w:rPr>
            </w:pPr>
            <w:r w:rsidRPr="00134480">
              <w:rPr>
                <w:lang w:val="en-GB"/>
              </w:rPr>
              <w:lastRenderedPageBreak/>
              <w:t>Commercial title:</w:t>
            </w:r>
          </w:p>
        </w:tc>
        <w:tc>
          <w:tcPr>
            <w:tcW w:w="5575" w:type="dxa"/>
            <w:shd w:val="clear" w:color="auto" w:fill="auto"/>
          </w:tcPr>
          <w:p w14:paraId="70DFCD81" w14:textId="77777777" w:rsidR="004868D5" w:rsidRPr="00134480" w:rsidRDefault="004868D5" w:rsidP="00134480">
            <w:pPr>
              <w:jc w:val="both"/>
              <w:rPr>
                <w:i/>
                <w:iCs/>
                <w:lang w:val="en-GB"/>
              </w:rPr>
            </w:pPr>
            <w:r w:rsidRPr="00134480">
              <w:rPr>
                <w:i/>
                <w:iCs/>
                <w:lang w:val="en-GB"/>
              </w:rPr>
              <w:t>[Joint/sole global coordinator; joint bookrunner, joint lead/lead manager]</w:t>
            </w:r>
            <w:r w:rsidR="000E2D73" w:rsidRPr="00134480">
              <w:rPr>
                <w:i/>
                <w:iCs/>
                <w:lang w:val="en-GB"/>
              </w:rPr>
              <w:t xml:space="preserve"> </w:t>
            </w:r>
            <w:r w:rsidRPr="00134480">
              <w:rPr>
                <w:i/>
                <w:iCs/>
                <w:lang w:val="en-GB"/>
              </w:rPr>
              <w:t>[Draft Note: such titles to be as they will appear on the OC/prospectus cover]</w:t>
            </w:r>
          </w:p>
        </w:tc>
      </w:tr>
      <w:tr w:rsidR="004868D5" w:rsidRPr="00134480" w14:paraId="2115FA3D" w14:textId="77777777" w:rsidTr="00134480">
        <w:tc>
          <w:tcPr>
            <w:tcW w:w="3775" w:type="dxa"/>
            <w:shd w:val="clear" w:color="auto" w:fill="auto"/>
          </w:tcPr>
          <w:p w14:paraId="0C4CD8A8" w14:textId="77777777" w:rsidR="004868D5" w:rsidRPr="00134480" w:rsidRDefault="004868D5" w:rsidP="00134480">
            <w:pPr>
              <w:jc w:val="both"/>
              <w:rPr>
                <w:lang w:val="en-GB"/>
              </w:rPr>
            </w:pPr>
            <w:r w:rsidRPr="00134480">
              <w:rPr>
                <w:lang w:val="en-GB"/>
              </w:rPr>
              <w:t>Role under SFC Code of Conduct:</w:t>
            </w:r>
          </w:p>
        </w:tc>
        <w:tc>
          <w:tcPr>
            <w:tcW w:w="5575" w:type="dxa"/>
            <w:shd w:val="clear" w:color="auto" w:fill="auto"/>
          </w:tcPr>
          <w:p w14:paraId="7B204C24" w14:textId="340B368B" w:rsidR="004868D5" w:rsidRPr="00134480" w:rsidRDefault="004868D5" w:rsidP="00134480">
            <w:pPr>
              <w:jc w:val="both"/>
              <w:rPr>
                <w:i/>
                <w:iCs/>
                <w:lang w:val="en-GB"/>
              </w:rPr>
            </w:pPr>
            <w:r w:rsidRPr="00134480">
              <w:rPr>
                <w:i/>
                <w:iCs/>
                <w:lang w:val="en-GB"/>
              </w:rPr>
              <w:t>[Overall coordinator</w:t>
            </w:r>
            <w:r w:rsidR="000E2D73" w:rsidRPr="00134480">
              <w:rPr>
                <w:i/>
                <w:iCs/>
                <w:lang w:val="en-GB"/>
              </w:rPr>
              <w:t xml:space="preserve"> (“OC”</w:t>
            </w:r>
            <w:r w:rsidR="00147106">
              <w:rPr>
                <w:i/>
                <w:iCs/>
                <w:lang w:val="en-GB"/>
              </w:rPr>
              <w:t xml:space="preserve"> and Syndicate capital markets intermediary (“SCMI”)</w:t>
            </w:r>
            <w:r w:rsidR="000E2D73" w:rsidRPr="00134480">
              <w:rPr>
                <w:i/>
                <w:iCs/>
                <w:lang w:val="en-GB"/>
              </w:rPr>
              <w:t>)</w:t>
            </w:r>
            <w:r w:rsidRPr="00134480">
              <w:rPr>
                <w:i/>
                <w:iCs/>
                <w:lang w:val="en-GB"/>
              </w:rPr>
              <w:t>/Syndicate capital markets intermediary</w:t>
            </w:r>
            <w:r w:rsidR="000E2D73" w:rsidRPr="00134480">
              <w:rPr>
                <w:i/>
                <w:iCs/>
                <w:lang w:val="en-GB"/>
              </w:rPr>
              <w:t xml:space="preserve"> (“SCMI”)</w:t>
            </w:r>
            <w:r w:rsidRPr="00134480">
              <w:rPr>
                <w:i/>
                <w:iCs/>
                <w:lang w:val="en-GB"/>
              </w:rPr>
              <w:t>]</w:t>
            </w:r>
          </w:p>
        </w:tc>
      </w:tr>
      <w:tr w:rsidR="004868D5" w:rsidRPr="00134480" w14:paraId="533478D6" w14:textId="77777777" w:rsidTr="00134480">
        <w:tc>
          <w:tcPr>
            <w:tcW w:w="3775" w:type="dxa"/>
            <w:shd w:val="clear" w:color="auto" w:fill="auto"/>
          </w:tcPr>
          <w:p w14:paraId="632DC50F" w14:textId="77777777" w:rsidR="004868D5" w:rsidRPr="00134480" w:rsidRDefault="004868D5" w:rsidP="00134480">
            <w:pPr>
              <w:jc w:val="both"/>
              <w:rPr>
                <w:lang w:val="en-GB"/>
              </w:rPr>
            </w:pPr>
            <w:r w:rsidRPr="00134480">
              <w:rPr>
                <w:lang w:val="en-GB"/>
              </w:rPr>
              <w:t xml:space="preserve">Description of </w:t>
            </w:r>
            <w:r w:rsidR="00BC42D5" w:rsidRPr="00134480">
              <w:rPr>
                <w:lang w:val="en-GB"/>
              </w:rPr>
              <w:t>Securities &amp; Offering</w:t>
            </w:r>
            <w:r w:rsidRPr="00134480">
              <w:rPr>
                <w:lang w:val="en-GB"/>
              </w:rPr>
              <w:t>:</w:t>
            </w:r>
          </w:p>
        </w:tc>
        <w:tc>
          <w:tcPr>
            <w:tcW w:w="5575" w:type="dxa"/>
            <w:shd w:val="clear" w:color="auto" w:fill="auto"/>
          </w:tcPr>
          <w:p w14:paraId="6DEDB48D" w14:textId="77777777" w:rsidR="004868D5" w:rsidRPr="00134480" w:rsidRDefault="00BC42D5" w:rsidP="00134480">
            <w:pPr>
              <w:jc w:val="both"/>
              <w:rPr>
                <w:lang w:val="en-GB"/>
              </w:rPr>
            </w:pPr>
            <w:r w:rsidRPr="00134480">
              <w:rPr>
                <w:i/>
                <w:iCs/>
                <w:lang w:val="en-GB"/>
              </w:rPr>
              <w:t xml:space="preserve">[Shares] </w:t>
            </w:r>
            <w:r w:rsidR="004868D5" w:rsidRPr="00134480">
              <w:rPr>
                <w:i/>
                <w:iCs/>
                <w:lang w:val="en-GB"/>
              </w:rPr>
              <w:t>[Currency] [Fixed/Floating] [Perpetual etc</w:t>
            </w:r>
            <w:r w:rsidR="004868D5" w:rsidRPr="00134480">
              <w:rPr>
                <w:lang w:val="en-GB"/>
              </w:rPr>
              <w:t xml:space="preserve">.] </w:t>
            </w:r>
            <w:r w:rsidR="004868D5" w:rsidRPr="00A20344">
              <w:rPr>
                <w:i/>
                <w:iCs/>
                <w:lang w:val="en-GB"/>
              </w:rPr>
              <w:t>(the “Securities”)</w:t>
            </w:r>
            <w:r w:rsidRPr="00A20344">
              <w:rPr>
                <w:i/>
                <w:iCs/>
                <w:lang w:val="en-GB"/>
              </w:rPr>
              <w:t xml:space="preserve"> to be offered [describe offering</w:t>
            </w:r>
            <w:r w:rsidRPr="003667C9">
              <w:rPr>
                <w:i/>
                <w:iCs/>
                <w:lang w:val="en-GB"/>
              </w:rPr>
              <w:t>] (the “Offering”)</w:t>
            </w:r>
          </w:p>
        </w:tc>
      </w:tr>
    </w:tbl>
    <w:p w14:paraId="1F0C8E13" w14:textId="77777777" w:rsidR="004868D5" w:rsidRDefault="004868D5">
      <w:pPr>
        <w:jc w:val="both"/>
      </w:pPr>
    </w:p>
    <w:p w14:paraId="3FB32AB2" w14:textId="6CACFA4C" w:rsidR="000E2D73" w:rsidRDefault="00DD3FC9">
      <w:pPr>
        <w:jc w:val="both"/>
      </w:pPr>
      <w:r>
        <w:t xml:space="preserve">Such appointment is made pursuant to </w:t>
      </w:r>
      <w:r w:rsidR="008E0036">
        <w:t>p</w:t>
      </w:r>
      <w:r>
        <w:t>aragraph 21 of the Code of Conduct for Persons Licensed by or Registered with the Securities and Futures Commission</w:t>
      </w:r>
      <w:r w:rsidR="008C740D">
        <w:t xml:space="preserve"> [in effect at the time of [the appointment/Offering]]</w:t>
      </w:r>
      <w:r>
        <w:t xml:space="preserve"> (the “Code”)</w:t>
      </w:r>
      <w:r w:rsidR="006B1737">
        <w:t xml:space="preserve">[and the Listing Rules </w:t>
      </w:r>
      <w:r w:rsidR="006B1737">
        <w:rPr>
          <w:color w:val="000000"/>
          <w:szCs w:val="22"/>
        </w:rPr>
        <w:t xml:space="preserve">of the Hong Kong Stock Exchange </w:t>
      </w:r>
      <w:r w:rsidR="006B1737">
        <w:t>[in effect at the time of [the appointment/Offering]</w:t>
      </w:r>
      <w:r w:rsidR="006B1737">
        <w:rPr>
          <w:color w:val="000000"/>
          <w:szCs w:val="22"/>
        </w:rPr>
        <w:t xml:space="preserve"> (the “Listing Rules”)]</w:t>
      </w:r>
      <w:r w:rsidR="000E2D73">
        <w:t xml:space="preserve">, and is further subject to the terms and conditions set forth herein </w:t>
      </w:r>
      <w:r w:rsidR="00091BE2">
        <w:t>[</w:t>
      </w:r>
      <w:r w:rsidR="000E2D73">
        <w:t>and in Appendix A “Terms and Conditions” attached hereto]</w:t>
      </w:r>
      <w:r w:rsidR="00091BE2">
        <w:t>/</w:t>
      </w:r>
      <w:r w:rsidR="00091BE2" w:rsidRPr="00091BE2">
        <w:t xml:space="preserve"> </w:t>
      </w:r>
      <w:r w:rsidR="00091BE2">
        <w:t>[in the “Terms and Conditions” trailing the body of this message].</w:t>
      </w:r>
      <w:r w:rsidR="000E2D73">
        <w:t>]</w:t>
      </w:r>
      <w:r>
        <w:t xml:space="preserve">  </w:t>
      </w:r>
    </w:p>
    <w:p w14:paraId="5779C68E" w14:textId="77777777" w:rsidR="000E2D73" w:rsidRDefault="000E2D73">
      <w:pPr>
        <w:jc w:val="both"/>
      </w:pPr>
    </w:p>
    <w:p w14:paraId="75C311E5" w14:textId="77777777" w:rsidR="001B4D48" w:rsidRDefault="001B4D48">
      <w:pPr>
        <w:jc w:val="both"/>
      </w:pPr>
      <w:r>
        <w:t>As used herein, “[</w:t>
      </w:r>
      <w:r w:rsidR="000E2D73">
        <w:t xml:space="preserve">short form </w:t>
      </w:r>
      <w:r w:rsidR="00BA2779">
        <w:t xml:space="preserve">financial institution </w:t>
      </w:r>
      <w:r>
        <w:t xml:space="preserve">name]” shall mean </w:t>
      </w:r>
      <w:r w:rsidRPr="00FD1E4F">
        <w:t>[</w:t>
      </w:r>
      <w:r w:rsidRPr="00FD1E4F">
        <w:rPr>
          <w:b/>
          <w:bCs/>
        </w:rPr>
        <w:t>Use entity as per above</w:t>
      </w:r>
      <w:r w:rsidRPr="00FD1E4F">
        <w:t xml:space="preserve">] </w:t>
      </w:r>
      <w:r>
        <w:t xml:space="preserve">and/or any affiliate thereof, as we determine appropriate to perform the services described herein. </w:t>
      </w:r>
      <w:r w:rsidR="00BA7F8E">
        <w:t>Capitalized terms not otherwise defined herein shall have the meanings ascribed to them in the Code.</w:t>
      </w:r>
    </w:p>
    <w:p w14:paraId="57927600" w14:textId="77777777" w:rsidR="001B4D48" w:rsidRDefault="001B4D48">
      <w:pPr>
        <w:jc w:val="both"/>
      </w:pPr>
    </w:p>
    <w:p w14:paraId="28C5C8ED" w14:textId="77777777" w:rsidR="001B4D48" w:rsidRDefault="001B4D48">
      <w:pPr>
        <w:jc w:val="both"/>
      </w:pPr>
    </w:p>
    <w:p w14:paraId="46B9E74A" w14:textId="77777777" w:rsidR="00D265BB" w:rsidRDefault="00D265BB" w:rsidP="00AA18FD">
      <w:pPr>
        <w:numPr>
          <w:ilvl w:val="0"/>
          <w:numId w:val="33"/>
        </w:numPr>
        <w:ind w:left="270"/>
        <w:jc w:val="both"/>
        <w:rPr>
          <w:b/>
          <w:bCs/>
        </w:rPr>
      </w:pPr>
      <w:r w:rsidRPr="00D265BB">
        <w:rPr>
          <w:b/>
          <w:bCs/>
        </w:rPr>
        <w:t xml:space="preserve">Roles and </w:t>
      </w:r>
      <w:r>
        <w:rPr>
          <w:b/>
          <w:bCs/>
        </w:rPr>
        <w:t>Responsibilities</w:t>
      </w:r>
    </w:p>
    <w:p w14:paraId="64EAEEC0" w14:textId="77777777" w:rsidR="003C0EB4" w:rsidRPr="00D265BB" w:rsidRDefault="003C0EB4">
      <w:pPr>
        <w:jc w:val="both"/>
        <w:rPr>
          <w:b/>
          <w:bCs/>
        </w:rPr>
      </w:pPr>
    </w:p>
    <w:p w14:paraId="23D63908" w14:textId="1819EEB9" w:rsidR="00D3416E" w:rsidRDefault="000E2D73" w:rsidP="00AA18FD">
      <w:pPr>
        <w:numPr>
          <w:ilvl w:val="1"/>
          <w:numId w:val="33"/>
        </w:numPr>
        <w:ind w:hanging="900"/>
        <w:jc w:val="both"/>
      </w:pPr>
      <w:r w:rsidRPr="008E5327">
        <w:rPr>
          <w:u w:val="single"/>
        </w:rPr>
        <w:t>S</w:t>
      </w:r>
      <w:r w:rsidR="00F836AA" w:rsidRPr="00D265BB">
        <w:rPr>
          <w:u w:val="single"/>
        </w:rPr>
        <w:t xml:space="preserve">CMI </w:t>
      </w:r>
    </w:p>
    <w:p w14:paraId="6C56B65B" w14:textId="77777777" w:rsidR="00F836AA" w:rsidRDefault="00F836AA">
      <w:pPr>
        <w:jc w:val="both"/>
      </w:pPr>
    </w:p>
    <w:p w14:paraId="41AECF9C" w14:textId="1E991AB0" w:rsidR="00F836AA" w:rsidRDefault="008834EE" w:rsidP="000957B0">
      <w:pPr>
        <w:ind w:firstLine="720"/>
      </w:pPr>
      <w:r>
        <w:t>W</w:t>
      </w:r>
      <w:r w:rsidR="00DD3FC9">
        <w:t xml:space="preserve">e shall </w:t>
      </w:r>
      <w:r w:rsidR="00E409F8">
        <w:t xml:space="preserve">perform such services and activities as </w:t>
      </w:r>
      <w:r w:rsidR="008C740D">
        <w:t>required of a</w:t>
      </w:r>
      <w:r>
        <w:t>n</w:t>
      </w:r>
      <w:r w:rsidR="008C740D">
        <w:t xml:space="preserve"> </w:t>
      </w:r>
      <w:r>
        <w:t>S</w:t>
      </w:r>
      <w:r w:rsidR="008C740D">
        <w:t xml:space="preserve">CMI pursuant to </w:t>
      </w:r>
      <w:r w:rsidR="009C1427">
        <w:t xml:space="preserve">paragraph 21.1.1 of </w:t>
      </w:r>
      <w:r w:rsidR="008C740D">
        <w:t>the Code</w:t>
      </w:r>
      <w:r w:rsidR="00E052E2">
        <w:t>[</w:t>
      </w:r>
      <w:r w:rsidR="00531AA2">
        <w:t>, which include</w:t>
      </w:r>
      <w:r w:rsidR="002C670A">
        <w:t>s</w:t>
      </w:r>
      <w:r w:rsidR="00531AA2">
        <w:t xml:space="preserve">, among other things, </w:t>
      </w:r>
      <w:r w:rsidR="00AE60B4">
        <w:t xml:space="preserve">advising, guiding and </w:t>
      </w:r>
      <w:r w:rsidR="00531AA2">
        <w:t>assisting the Company in</w:t>
      </w:r>
      <w:r w:rsidR="00AE60B4">
        <w:t xml:space="preserve"> bookbuilding and placing activities in connection with the Offering. For the purposes of this letter, “bookbuilding activities” shall include </w:t>
      </w:r>
      <w:r w:rsidR="00531AA2" w:rsidRPr="00531AA2">
        <w:t xml:space="preserve">collating investors’ orders (including indications of interest) in </w:t>
      </w:r>
      <w:r w:rsidR="00531AA2">
        <w:t>connection with the</w:t>
      </w:r>
      <w:r w:rsidR="00531AA2" w:rsidRPr="00531AA2">
        <w:t xml:space="preserve"> </w:t>
      </w:r>
      <w:r w:rsidR="00531AA2">
        <w:t>O</w:t>
      </w:r>
      <w:r w:rsidR="00531AA2" w:rsidRPr="00531AA2">
        <w:t>ffering in order to facilitate:</w:t>
      </w:r>
      <w:r w:rsidR="00531AA2">
        <w:t xml:space="preserve"> </w:t>
      </w:r>
      <w:r w:rsidR="00531AA2" w:rsidRPr="00531AA2">
        <w:t xml:space="preserve">(i) the price determination and the allocation of </w:t>
      </w:r>
      <w:r w:rsidR="00531AA2">
        <w:t>S</w:t>
      </w:r>
      <w:r w:rsidR="00531AA2" w:rsidRPr="00531AA2">
        <w:t>ecurities to investors; or</w:t>
      </w:r>
      <w:r w:rsidR="00531AA2">
        <w:t xml:space="preserve"> </w:t>
      </w:r>
      <w:r w:rsidR="00531AA2" w:rsidRPr="00531AA2">
        <w:t>(ii) the process of assessing demand and making allocations</w:t>
      </w:r>
      <w:r w:rsidR="00AE60B4">
        <w:t>; and “placing activities</w:t>
      </w:r>
      <w:r w:rsidR="00273253">
        <w:t>”</w:t>
      </w:r>
      <w:r w:rsidR="00AE60B4">
        <w:t xml:space="preserve"> shall include </w:t>
      </w:r>
      <w:r w:rsidR="00531AA2" w:rsidRPr="00531AA2">
        <w:t xml:space="preserve">marketing or distributing </w:t>
      </w:r>
      <w:r w:rsidR="00AE60B4">
        <w:t xml:space="preserve">the Securities </w:t>
      </w:r>
      <w:r w:rsidR="00531AA2" w:rsidRPr="00531AA2">
        <w:t>to investors pursuant to those bookbuilding activities</w:t>
      </w:r>
      <w:r w:rsidR="00E052E2">
        <w:t>]</w:t>
      </w:r>
      <w:r w:rsidR="003821FC">
        <w:t>.</w:t>
      </w:r>
      <w:r w:rsidR="00531AA2" w:rsidRPr="00531AA2">
        <w:t xml:space="preserve"> </w:t>
      </w:r>
      <w:r w:rsidR="00D848E4">
        <w:br/>
      </w:r>
    </w:p>
    <w:p w14:paraId="6A5F5D40" w14:textId="1D269748" w:rsidR="00F836AA" w:rsidRDefault="00F836AA" w:rsidP="00AA18FD">
      <w:pPr>
        <w:numPr>
          <w:ilvl w:val="1"/>
          <w:numId w:val="33"/>
        </w:numPr>
        <w:ind w:hanging="900"/>
        <w:jc w:val="both"/>
      </w:pPr>
      <w:r>
        <w:t>[</w:t>
      </w:r>
      <w:r w:rsidRPr="00D265BB">
        <w:rPr>
          <w:u w:val="single"/>
        </w:rPr>
        <w:t>OC</w:t>
      </w:r>
    </w:p>
    <w:p w14:paraId="67894853" w14:textId="77777777" w:rsidR="00F836AA" w:rsidRDefault="00F836AA">
      <w:pPr>
        <w:jc w:val="both"/>
      </w:pPr>
    </w:p>
    <w:p w14:paraId="18A87D75" w14:textId="1F3CDBE5" w:rsidR="00AE60B4" w:rsidRDefault="00AE60B4" w:rsidP="00AE60B4">
      <w:pPr>
        <w:ind w:firstLine="720"/>
        <w:jc w:val="both"/>
      </w:pPr>
      <w:r>
        <w:t>[</w:t>
      </w:r>
      <w:r w:rsidR="00E33219">
        <w:t>Equity</w:t>
      </w:r>
      <w:r>
        <w:t>] [</w:t>
      </w:r>
      <w:r w:rsidR="00F836AA">
        <w:t xml:space="preserve">In our role as an OC, </w:t>
      </w:r>
      <w:r>
        <w:t>and in addition to responsibilities as a</w:t>
      </w:r>
      <w:r w:rsidR="0044522C">
        <w:t>n</w:t>
      </w:r>
      <w:r>
        <w:t xml:space="preserve"> </w:t>
      </w:r>
      <w:r w:rsidR="0044522C">
        <w:t>S</w:t>
      </w:r>
      <w:r>
        <w:t xml:space="preserve">CMI, </w:t>
      </w:r>
      <w:r w:rsidR="008C740D">
        <w:t xml:space="preserve">we shall perform such services and activities as required of </w:t>
      </w:r>
      <w:r>
        <w:t>an OC</w:t>
      </w:r>
      <w:r w:rsidR="00887F3E">
        <w:t xml:space="preserve"> </w:t>
      </w:r>
      <w:r w:rsidR="008C740D">
        <w:t xml:space="preserve">pursuant to </w:t>
      </w:r>
      <w:r w:rsidR="009C1427">
        <w:t xml:space="preserve">paragraph 21.2.3 of </w:t>
      </w:r>
      <w:r w:rsidR="008C740D">
        <w:t>the Code</w:t>
      </w:r>
      <w:r w:rsidR="009C1427">
        <w:t>[</w:t>
      </w:r>
      <w:r>
        <w:t xml:space="preserve">, which includes any or all of the following activities: </w:t>
      </w:r>
    </w:p>
    <w:p w14:paraId="12E1BB29" w14:textId="77777777" w:rsidR="00AE60B4" w:rsidRDefault="00AE60B4" w:rsidP="00AE60B4">
      <w:pPr>
        <w:ind w:firstLine="720"/>
        <w:jc w:val="both"/>
      </w:pPr>
    </w:p>
    <w:p w14:paraId="78D5DC92" w14:textId="77777777" w:rsidR="00AE60B4" w:rsidRPr="00AE60B4" w:rsidRDefault="00AE60B4" w:rsidP="00AA18FD">
      <w:pPr>
        <w:ind w:left="1170" w:hanging="450"/>
        <w:jc w:val="both"/>
      </w:pPr>
      <w:r w:rsidRPr="00AE60B4">
        <w:t>(</w:t>
      </w:r>
      <w:r>
        <w:t>i</w:t>
      </w:r>
      <w:r w:rsidRPr="00AE60B4">
        <w:t xml:space="preserve">) </w:t>
      </w:r>
      <w:r w:rsidR="003821FC">
        <w:tab/>
      </w:r>
      <w:r w:rsidRPr="00AE60B4">
        <w:t xml:space="preserve">overall management of the </w:t>
      </w:r>
      <w:r>
        <w:t>O</w:t>
      </w:r>
      <w:r w:rsidRPr="00AE60B4">
        <w:t xml:space="preserve">ffering, coordinating the bookbuilding or placing activities conducted by other CMIs, exercising control over bookbuilding activities and making allocation recommendations to the </w:t>
      </w:r>
      <w:r w:rsidR="00E33219">
        <w:t>Company</w:t>
      </w:r>
      <w:r w:rsidRPr="00AE60B4">
        <w:t>; </w:t>
      </w:r>
    </w:p>
    <w:p w14:paraId="3F7BD496" w14:textId="77777777" w:rsidR="00AE60B4" w:rsidRPr="00AE60B4" w:rsidRDefault="00AE60B4" w:rsidP="00AA18FD">
      <w:pPr>
        <w:ind w:left="1170" w:hanging="450"/>
        <w:jc w:val="both"/>
      </w:pPr>
      <w:r w:rsidRPr="00AE60B4">
        <w:t>(</w:t>
      </w:r>
      <w:r>
        <w:t>ii</w:t>
      </w:r>
      <w:r w:rsidRPr="00AE60B4">
        <w:t xml:space="preserve">) </w:t>
      </w:r>
      <w:r w:rsidR="003821FC">
        <w:tab/>
      </w:r>
      <w:r w:rsidRPr="00AE60B4">
        <w:t xml:space="preserve">advising the </w:t>
      </w:r>
      <w:r>
        <w:t>Company</w:t>
      </w:r>
      <w:r w:rsidRPr="00AE60B4">
        <w:t xml:space="preserve"> of the offer price and being a party to the price determination </w:t>
      </w:r>
      <w:r w:rsidRPr="00AE60B4">
        <w:lastRenderedPageBreak/>
        <w:t xml:space="preserve">agreement with the </w:t>
      </w:r>
      <w:r>
        <w:t>Company</w:t>
      </w:r>
      <w:r w:rsidRPr="00AE60B4">
        <w:t>; or</w:t>
      </w:r>
    </w:p>
    <w:p w14:paraId="276FDFAB" w14:textId="77777777" w:rsidR="006B1737" w:rsidRDefault="00AE60B4" w:rsidP="00AA18FD">
      <w:pPr>
        <w:ind w:left="1170" w:hanging="450"/>
        <w:jc w:val="both"/>
      </w:pPr>
      <w:r w:rsidRPr="00AE60B4">
        <w:t>(</w:t>
      </w:r>
      <w:r>
        <w:t>iii</w:t>
      </w:r>
      <w:r w:rsidRPr="00AE60B4">
        <w:t>) exercising the discretion to reallocate shares between the placing tranche and public subscription tranche, reduce the number of offer shares, or exercise an upsize option or over-allotment option.</w:t>
      </w:r>
      <w:r w:rsidR="00F836AA">
        <w:t>]</w:t>
      </w:r>
    </w:p>
    <w:p w14:paraId="791793F9" w14:textId="77777777" w:rsidR="006B1737" w:rsidRDefault="006B1737" w:rsidP="006B1737">
      <w:pPr>
        <w:ind w:firstLine="720"/>
        <w:jc w:val="both"/>
      </w:pPr>
    </w:p>
    <w:p w14:paraId="0C97489A" w14:textId="3E9B18AA" w:rsidR="00F836AA" w:rsidRDefault="006B1737" w:rsidP="001A64F2">
      <w:pPr>
        <w:ind w:firstLine="720"/>
        <w:jc w:val="both"/>
      </w:pPr>
      <w:r w:rsidRPr="006B1737">
        <w:t>[</w:t>
      </w:r>
      <w:r>
        <w:t xml:space="preserve">To be considered where there are </w:t>
      </w:r>
      <w:r w:rsidRPr="006B1737">
        <w:t xml:space="preserve">multiple OCs] [The Company </w:t>
      </w:r>
      <w:r w:rsidR="009375D3">
        <w:t xml:space="preserve">further </w:t>
      </w:r>
      <w:r w:rsidRPr="006B1737">
        <w:t xml:space="preserve">acknowledges and agrees that [name of the relevant </w:t>
      </w:r>
      <w:r w:rsidR="009375D3">
        <w:t>OC</w:t>
      </w:r>
      <w:r w:rsidRPr="006B1737">
        <w:t xml:space="preserve">] shall be appointed as the designated </w:t>
      </w:r>
      <w:r w:rsidR="009375D3">
        <w:t>OC</w:t>
      </w:r>
      <w:r w:rsidRPr="006B1737">
        <w:t xml:space="preserve"> / the Company will appoint a designated </w:t>
      </w:r>
      <w:r w:rsidR="009375D3">
        <w:t>OC</w:t>
      </w:r>
      <w:r w:rsidRPr="006B1737">
        <w:t xml:space="preserve"> for communication with, and provision of information to, </w:t>
      </w:r>
      <w:r w:rsidR="00AC114F">
        <w:t>[</w:t>
      </w:r>
      <w:r w:rsidRPr="006B1737">
        <w:t>the Hong Kong Stock Exchange and</w:t>
      </w:r>
      <w:r w:rsidR="00AC114F">
        <w:t>]</w:t>
      </w:r>
      <w:r w:rsidRPr="006B1737">
        <w:t xml:space="preserve"> </w:t>
      </w:r>
      <w:r w:rsidR="00AC114F">
        <w:t xml:space="preserve">the </w:t>
      </w:r>
      <w:r w:rsidRPr="006B1737">
        <w:t xml:space="preserve">SFC in accordance with the applicable legal or regulatory requirements or upon request (save for the information otherwise specified under </w:t>
      </w:r>
      <w:r w:rsidR="00AC114F">
        <w:t>[</w:t>
      </w:r>
      <w:r w:rsidRPr="006B1737">
        <w:t xml:space="preserve">the Listing Rules and </w:t>
      </w:r>
      <w:r w:rsidR="00AC114F">
        <w:t>]</w:t>
      </w:r>
      <w:r w:rsidRPr="006B1737">
        <w:t xml:space="preserve">the Code which shall be submitted by each of the </w:t>
      </w:r>
      <w:r w:rsidR="009375D3">
        <w:t>OCs</w:t>
      </w:r>
      <w:r w:rsidRPr="006B1737">
        <w:t xml:space="preserve"> and other relevant parties, respectively).]</w:t>
      </w:r>
      <w:r w:rsidR="009C1427">
        <w:t>]</w:t>
      </w:r>
    </w:p>
    <w:p w14:paraId="22C8E1B6" w14:textId="77777777" w:rsidR="00E8215E" w:rsidRDefault="00E8215E" w:rsidP="00E8215E">
      <w:pPr>
        <w:jc w:val="both"/>
      </w:pPr>
    </w:p>
    <w:p w14:paraId="0F87CB93" w14:textId="396C711B" w:rsidR="00E33219" w:rsidRDefault="00E33219" w:rsidP="00F1483B">
      <w:pPr>
        <w:jc w:val="both"/>
      </w:pPr>
      <w:r>
        <w:tab/>
        <w:t>[Debt/equity-linked] [In our role as an OC, and in addition to responsibilities as a</w:t>
      </w:r>
      <w:r w:rsidR="0044522C">
        <w:t>n</w:t>
      </w:r>
      <w:r>
        <w:t xml:space="preserve"> </w:t>
      </w:r>
      <w:r w:rsidR="0044522C">
        <w:t>S</w:t>
      </w:r>
      <w:r>
        <w:t xml:space="preserve">CMI, we shall perform such services and activities as required of an OC pursuant to </w:t>
      </w:r>
      <w:r w:rsidR="009C1427">
        <w:t xml:space="preserve">paragraph 21.2.4 of </w:t>
      </w:r>
      <w:r>
        <w:t>the Code</w:t>
      </w:r>
      <w:r w:rsidR="00E052E2">
        <w:t>[</w:t>
      </w:r>
      <w:r>
        <w:t xml:space="preserve">, which includes </w:t>
      </w:r>
      <w:r w:rsidRPr="00E33219">
        <w:t>conduct</w:t>
      </w:r>
      <w:r>
        <w:t>ing</w:t>
      </w:r>
      <w:r w:rsidRPr="00E33219">
        <w:t xml:space="preserve"> the overall management of the </w:t>
      </w:r>
      <w:r>
        <w:t>O</w:t>
      </w:r>
      <w:r w:rsidRPr="00E33219">
        <w:t>ffering, coordinat</w:t>
      </w:r>
      <w:r>
        <w:t>ing</w:t>
      </w:r>
      <w:r w:rsidRPr="00E33219">
        <w:t xml:space="preserve"> the bookbuilding or placing activities conducted by other CMIs, exercis</w:t>
      </w:r>
      <w:r>
        <w:t>ing</w:t>
      </w:r>
      <w:r w:rsidRPr="00E33219">
        <w:t xml:space="preserve"> control over bookbuilding activities and makes pricing or allocation recommendations to the </w:t>
      </w:r>
      <w:r>
        <w:t>Company.</w:t>
      </w:r>
      <w:r w:rsidR="00E052E2">
        <w:t>]</w:t>
      </w:r>
      <w:r w:rsidR="009C1427">
        <w:t>]</w:t>
      </w:r>
    </w:p>
    <w:p w14:paraId="679992AD" w14:textId="77777777" w:rsidR="008834EE" w:rsidRDefault="008834EE" w:rsidP="00E8215E">
      <w:pPr>
        <w:jc w:val="both"/>
      </w:pPr>
      <w:r>
        <w:t xml:space="preserve"> </w:t>
      </w:r>
    </w:p>
    <w:p w14:paraId="099CF39B" w14:textId="77777777" w:rsidR="0054627D" w:rsidRDefault="008834EE" w:rsidP="00944579">
      <w:pPr>
        <w:ind w:firstLine="360"/>
        <w:jc w:val="both"/>
      </w:pPr>
      <w:r>
        <w:t>In connection with our role as an OC, the Company agrees to grant to us full access to the order book (not read-only access) and invite us to, and allow us to participate in, discussions with the Company and other intermediaries related to bookbuilding, pricing and allocation, among other things.]</w:t>
      </w:r>
      <w:r>
        <w:rPr>
          <w:rStyle w:val="FootnoteReference"/>
        </w:rPr>
        <w:footnoteReference w:id="4"/>
      </w:r>
    </w:p>
    <w:p w14:paraId="01D962D8" w14:textId="77777777" w:rsidR="00EC5314" w:rsidRDefault="00EC5314">
      <w:pPr>
        <w:jc w:val="both"/>
        <w:rPr>
          <w:b/>
        </w:rPr>
      </w:pPr>
    </w:p>
    <w:p w14:paraId="37E7EE11" w14:textId="40764708" w:rsidR="00D3416E" w:rsidRDefault="00D3416E" w:rsidP="001A64F2">
      <w:pPr>
        <w:numPr>
          <w:ilvl w:val="0"/>
          <w:numId w:val="33"/>
        </w:numPr>
        <w:ind w:left="360" w:hanging="450"/>
        <w:jc w:val="both"/>
      </w:pPr>
      <w:r>
        <w:rPr>
          <w:b/>
        </w:rPr>
        <w:t>Fees</w:t>
      </w:r>
      <w:r w:rsidR="00BA1E2D">
        <w:rPr>
          <w:b/>
        </w:rPr>
        <w:t xml:space="preserve"> </w:t>
      </w:r>
    </w:p>
    <w:p w14:paraId="69290BAA" w14:textId="77777777" w:rsidR="008716A2" w:rsidRPr="000957B0" w:rsidRDefault="008716A2" w:rsidP="001A64F2">
      <w:pPr>
        <w:ind w:left="360"/>
        <w:jc w:val="both"/>
        <w:rPr>
          <w:highlight w:val="yellow"/>
        </w:rPr>
      </w:pPr>
    </w:p>
    <w:p w14:paraId="66B16CD2" w14:textId="4C024572" w:rsidR="008716A2" w:rsidRDefault="008716A2" w:rsidP="001A64F2">
      <w:pPr>
        <w:ind w:left="360"/>
        <w:jc w:val="both"/>
      </w:pPr>
      <w:r w:rsidRPr="008E5327">
        <w:t>[</w:t>
      </w:r>
      <w:r w:rsidRPr="001A64F2">
        <w:rPr>
          <w:u w:val="single"/>
        </w:rPr>
        <w:t xml:space="preserve">Option </w:t>
      </w:r>
      <w:r w:rsidR="0091587C" w:rsidRPr="004713C5">
        <w:rPr>
          <w:u w:val="single"/>
        </w:rPr>
        <w:t xml:space="preserve">1 </w:t>
      </w:r>
      <w:r w:rsidR="00E052E2" w:rsidRPr="004713C5">
        <w:rPr>
          <w:u w:val="single"/>
        </w:rPr>
        <w:t>(D</w:t>
      </w:r>
      <w:r w:rsidR="009D66C6" w:rsidRPr="004713C5">
        <w:rPr>
          <w:u w:val="single"/>
        </w:rPr>
        <w:t>ebt</w:t>
      </w:r>
      <w:r w:rsidR="00E052E2" w:rsidRPr="004713C5">
        <w:rPr>
          <w:u w:val="single"/>
        </w:rPr>
        <w:t xml:space="preserve"> Only)</w:t>
      </w:r>
      <w:r w:rsidRPr="008E5327">
        <w:t xml:space="preserve">][The gross underwriting commission for the Offering shall equal __% of the aggregate [principal amount] [gross proceeds] of the Securities (the “Total Fees”), which amount shall be </w:t>
      </w:r>
      <w:r w:rsidR="00634408">
        <w:t>[</w:t>
      </w:r>
      <w:r w:rsidRPr="008E5327">
        <w:t>deducted from the proceeds of the Offering</w:t>
      </w:r>
      <w:r w:rsidR="00634408">
        <w:t>]/[paid by the Company as set out below]</w:t>
      </w:r>
      <w:r w:rsidR="00634408" w:rsidRPr="008E5327">
        <w:t xml:space="preserve"> </w:t>
      </w:r>
      <w:r w:rsidRPr="008E5327">
        <w:t xml:space="preserve"> and divided among the syndicate. [The Total Fees will be broken into fixed and discretionary fees at a ratio</w:t>
      </w:r>
      <w:r w:rsidR="00E052E2">
        <w:t xml:space="preserve"> of</w:t>
      </w:r>
      <w:r w:rsidRPr="008E5327">
        <w:t xml:space="preserve"> [</w:t>
      </w:r>
      <w:r w:rsidR="00E052E2">
        <w:sym w:font="Webdings" w:char="F03D"/>
      </w:r>
      <w:r w:rsidRPr="008E5327">
        <w:t>:</w:t>
      </w:r>
      <w:r w:rsidR="00E052E2" w:rsidRPr="00E052E2">
        <w:t xml:space="preserve"> </w:t>
      </w:r>
      <w:r w:rsidR="00E052E2">
        <w:sym w:font="Webdings" w:char="F03D"/>
      </w:r>
      <w:r w:rsidRPr="008E5327">
        <w:t>], respectively</w:t>
      </w:r>
      <w:r w:rsidR="009F387C">
        <w:t>.</w:t>
      </w:r>
      <w:r w:rsidR="00BE2616">
        <w:t>]</w:t>
      </w:r>
      <w:r w:rsidR="00BE2616">
        <w:rPr>
          <w:rStyle w:val="FootnoteReference"/>
        </w:rPr>
        <w:footnoteReference w:id="5"/>
      </w:r>
      <w:r w:rsidRPr="008E5327">
        <w:t xml:space="preserve"> </w:t>
      </w:r>
      <w:r w:rsidR="00BE2616">
        <w:t>[</w:t>
      </w:r>
      <w:r w:rsidR="00FD6A18">
        <w:t xml:space="preserve"> [x]% of the fixed fee </w:t>
      </w:r>
      <w:r w:rsidR="00FA1607">
        <w:t xml:space="preserve">shall be </w:t>
      </w:r>
      <w:r w:rsidR="00FD6A18">
        <w:t>payable to [short form financial institution name]</w:t>
      </w:r>
      <w:r w:rsidR="00FA1607">
        <w:rPr>
          <w:rStyle w:val="FootnoteReference"/>
        </w:rPr>
        <w:footnoteReference w:id="6"/>
      </w:r>
      <w:r w:rsidRPr="008E5327">
        <w:t xml:space="preserve">. </w:t>
      </w:r>
      <w:r w:rsidR="00BE2616">
        <w:t>[</w:t>
      </w:r>
      <w:r w:rsidRPr="008E5327">
        <w:t xml:space="preserve">The distribution of the discretionary fee will </w:t>
      </w:r>
      <w:r w:rsidR="006917F0" w:rsidRPr="008E5327">
        <w:t xml:space="preserve">be </w:t>
      </w:r>
      <w:r w:rsidRPr="008E5327">
        <w:t>payable in amounts to be determined by the Company at its discretion.</w:t>
      </w:r>
      <w:r w:rsidR="00BE2616">
        <w:t>]</w:t>
      </w:r>
      <w:r w:rsidR="00BE2616">
        <w:rPr>
          <w:rStyle w:val="FootnoteReference"/>
        </w:rPr>
        <w:footnoteReference w:id="7"/>
      </w:r>
      <w:r w:rsidR="0040468C">
        <w:t xml:space="preserve"> </w:t>
      </w:r>
    </w:p>
    <w:p w14:paraId="56986ADF" w14:textId="3048DCF5" w:rsidR="0091587C" w:rsidRDefault="0091587C" w:rsidP="001A64F2">
      <w:pPr>
        <w:ind w:left="360"/>
        <w:jc w:val="both"/>
      </w:pPr>
    </w:p>
    <w:p w14:paraId="765164B7" w14:textId="19CF2CA8" w:rsidR="0091587C" w:rsidRPr="001A64F2" w:rsidRDefault="0091587C" w:rsidP="001A64F2">
      <w:pPr>
        <w:ind w:left="360"/>
        <w:jc w:val="both"/>
        <w:rPr>
          <w:highlight w:val="yellow"/>
        </w:rPr>
      </w:pPr>
      <w:r>
        <w:t>[</w:t>
      </w:r>
      <w:r w:rsidRPr="000957B0">
        <w:rPr>
          <w:u w:val="single"/>
        </w:rPr>
        <w:t xml:space="preserve">Option </w:t>
      </w:r>
      <w:r>
        <w:rPr>
          <w:u w:val="single"/>
        </w:rPr>
        <w:t>2</w:t>
      </w:r>
      <w:r w:rsidRPr="000957B0">
        <w:rPr>
          <w:u w:val="single"/>
        </w:rPr>
        <w:t xml:space="preserve"> (</w:t>
      </w:r>
      <w:r>
        <w:rPr>
          <w:u w:val="single"/>
        </w:rPr>
        <w:t>Mixed-syndicate</w:t>
      </w:r>
      <w:r>
        <w:rPr>
          <w:rStyle w:val="FootnoteReference"/>
          <w:u w:val="single"/>
        </w:rPr>
        <w:footnoteReference w:id="8"/>
      </w:r>
      <w:r>
        <w:rPr>
          <w:u w:val="single"/>
        </w:rPr>
        <w:t xml:space="preserve"> </w:t>
      </w:r>
      <w:r w:rsidRPr="000957B0">
        <w:rPr>
          <w:u w:val="single"/>
        </w:rPr>
        <w:t>Debt Only)</w:t>
      </w:r>
      <w:r w:rsidRPr="008E5327">
        <w:t xml:space="preserve">][The gross underwriting commission for the Offering </w:t>
      </w:r>
      <w:r w:rsidRPr="008E5327">
        <w:lastRenderedPageBreak/>
        <w:t xml:space="preserve">shall equal </w:t>
      </w:r>
      <w:r w:rsidR="0071096B">
        <w:t>[x]</w:t>
      </w:r>
      <w:r w:rsidR="0071096B" w:rsidRPr="008E5327">
        <w:t xml:space="preserve">% </w:t>
      </w:r>
      <w:r w:rsidRPr="008E5327">
        <w:t xml:space="preserve">of the aggregate [principal amount] [gross proceeds] of the Securities (the “Total Fees”), which amount shall be </w:t>
      </w:r>
      <w:r>
        <w:t>[</w:t>
      </w:r>
      <w:r w:rsidRPr="008E5327">
        <w:t>deducted from the proceeds of the Offering</w:t>
      </w:r>
      <w:r>
        <w:t>]/[paid by the Company as set out below]</w:t>
      </w:r>
      <w:r w:rsidRPr="008E5327">
        <w:t xml:space="preserve"> and divided among the syndicate. [The Total Fees will be broken into fixed and discretionary fees at a ratio</w:t>
      </w:r>
      <w:r>
        <w:t xml:space="preserve"> of</w:t>
      </w:r>
      <w:r w:rsidRPr="008E5327">
        <w:t xml:space="preserve"> [</w:t>
      </w:r>
      <w:r>
        <w:sym w:font="Webdings" w:char="F03D"/>
      </w:r>
      <w:r w:rsidRPr="008E5327">
        <w:t>:</w:t>
      </w:r>
      <w:r w:rsidRPr="00E052E2">
        <w:t xml:space="preserve"> </w:t>
      </w:r>
      <w:r>
        <w:sym w:font="Webdings" w:char="F03D"/>
      </w:r>
      <w:r w:rsidRPr="008E5327">
        <w:t>], respectively, with</w:t>
      </w:r>
      <w:r>
        <w:t>]</w:t>
      </w:r>
      <w:r>
        <w:rPr>
          <w:rStyle w:val="FootnoteReference"/>
        </w:rPr>
        <w:footnoteReference w:id="9"/>
      </w:r>
      <w:r w:rsidRPr="008E5327">
        <w:t xml:space="preserve"> </w:t>
      </w:r>
      <w:r w:rsidR="00FA1607">
        <w:t xml:space="preserve">[[x]% of the [Total Fees/fixed fee] shall be payable to [consider title-based distributions] and [y]% of the [Total Fees/fixed fee] payable to [consider title-based distributions] / </w:t>
      </w:r>
      <w:r>
        <w:t>[The/</w:t>
      </w:r>
      <w:r w:rsidRPr="008E5327">
        <w:t>the</w:t>
      </w:r>
      <w:r>
        <w:t>]</w:t>
      </w:r>
      <w:r w:rsidRPr="008E5327">
        <w:t xml:space="preserve"> final allocation of the fixed fee payable to each [OC/SCMI ENTITY] </w:t>
      </w:r>
      <w:r w:rsidR="004658EA">
        <w:t>shall</w:t>
      </w:r>
      <w:r w:rsidRPr="008E5327">
        <w:t xml:space="preserve"> be agreed in [agreement title]</w:t>
      </w:r>
      <w:r w:rsidR="00B87A9C" w:rsidRPr="00B87A9C">
        <w:rPr>
          <w:rStyle w:val="FootnoteReference"/>
        </w:rPr>
        <w:t xml:space="preserve"> </w:t>
      </w:r>
      <w:r w:rsidR="00B87A9C">
        <w:rPr>
          <w:rStyle w:val="FootnoteReference"/>
        </w:rPr>
        <w:footnoteReference w:id="10"/>
      </w:r>
      <w:r w:rsidR="00B87A9C">
        <w:t xml:space="preserve"> </w:t>
      </w:r>
      <w:r>
        <w:t>[</w:t>
      </w:r>
      <w:r w:rsidRPr="008E5327">
        <w:t xml:space="preserve">, and the discretionary fee </w:t>
      </w:r>
      <w:r w:rsidR="004658EA">
        <w:t>shall be</w:t>
      </w:r>
      <w:r w:rsidR="004658EA" w:rsidRPr="008E5327">
        <w:t xml:space="preserve"> </w:t>
      </w:r>
      <w:r w:rsidRPr="008E5327">
        <w:t>payable in amounts to be determined by the Company at its discretion</w:t>
      </w:r>
      <w:r>
        <w:t>]</w:t>
      </w:r>
      <w:r>
        <w:rPr>
          <w:rStyle w:val="FootnoteReference"/>
        </w:rPr>
        <w:footnoteReference w:id="11"/>
      </w:r>
      <w:r w:rsidRPr="008E5327">
        <w:t xml:space="preserve">.] </w:t>
      </w:r>
    </w:p>
    <w:p w14:paraId="3FA89BFD" w14:textId="77777777" w:rsidR="008716A2" w:rsidRDefault="008716A2" w:rsidP="001A64F2">
      <w:pPr>
        <w:ind w:left="360"/>
        <w:jc w:val="both"/>
      </w:pPr>
    </w:p>
    <w:p w14:paraId="229C078F" w14:textId="70B7C859" w:rsidR="008716A2" w:rsidRDefault="008716A2" w:rsidP="001A64F2">
      <w:pPr>
        <w:ind w:left="360"/>
        <w:jc w:val="both"/>
      </w:pPr>
      <w:r>
        <w:t>[</w:t>
      </w:r>
      <w:r w:rsidRPr="000957B0">
        <w:rPr>
          <w:u w:val="single"/>
        </w:rPr>
        <w:t>Option 3</w:t>
      </w:r>
      <w:r w:rsidR="001D597A" w:rsidRPr="000957B0">
        <w:rPr>
          <w:u w:val="single"/>
        </w:rPr>
        <w:t xml:space="preserve"> (</w:t>
      </w:r>
      <w:r w:rsidR="001E266F" w:rsidRPr="000957B0">
        <w:rPr>
          <w:u w:val="single"/>
        </w:rPr>
        <w:t>Listing Rules</w:t>
      </w:r>
      <w:r w:rsidR="001D597A" w:rsidRPr="000957B0">
        <w:rPr>
          <w:u w:val="single"/>
        </w:rPr>
        <w:t xml:space="preserve"> Compliant</w:t>
      </w:r>
      <w:r w:rsidR="007A3CF5" w:rsidRPr="000957B0">
        <w:rPr>
          <w:u w:val="single"/>
        </w:rPr>
        <w:t xml:space="preserve"> for </w:t>
      </w:r>
      <w:r w:rsidR="009D66C6" w:rsidRPr="000957B0">
        <w:rPr>
          <w:u w:val="single"/>
        </w:rPr>
        <w:t>Equity</w:t>
      </w:r>
      <w:r w:rsidR="001D597A" w:rsidRPr="000957B0">
        <w:rPr>
          <w:u w:val="single"/>
        </w:rPr>
        <w:t>)</w:t>
      </w:r>
      <w:r>
        <w:t>][</w:t>
      </w:r>
      <w:r w:rsidR="007E7197">
        <w:t>The gross underwriting commission for the Offering shall equal __% of the aggregate [principal amount] [gross proceeds] of the Securities (the “Total Fees”), which amount shall be deducted from the proceeds of the Offering and divided among the syndicate. The Total Fees will be broken into fixed and discretionary fees at a ratio</w:t>
      </w:r>
      <w:r w:rsidR="00280A34">
        <w:t xml:space="preserve"> of</w:t>
      </w:r>
      <w:r w:rsidR="007E7197">
        <w:t xml:space="preserve"> [</w:t>
      </w:r>
      <w:r w:rsidR="00E052E2">
        <w:sym w:font="Webdings" w:char="F03D"/>
      </w:r>
      <w:r w:rsidR="007E7197">
        <w:t>:</w:t>
      </w:r>
      <w:r w:rsidR="00E052E2">
        <w:sym w:font="Webdings" w:char="F03D"/>
      </w:r>
      <w:r w:rsidR="007E7197">
        <w:t>]</w:t>
      </w:r>
      <w:r w:rsidR="009F387C">
        <w:rPr>
          <w:rStyle w:val="FootnoteReference"/>
        </w:rPr>
        <w:footnoteReference w:id="12"/>
      </w:r>
      <w:r w:rsidR="007E7197">
        <w:t>, respectively, with [x]% of the fixed fee payable to [OC/</w:t>
      </w:r>
      <w:r w:rsidR="0044522C">
        <w:t>S</w:t>
      </w:r>
      <w:r w:rsidR="007E7197">
        <w:t>CMI ENTITY]</w:t>
      </w:r>
      <w:r w:rsidR="001D597A">
        <w:rPr>
          <w:rStyle w:val="FootnoteReference"/>
        </w:rPr>
        <w:footnoteReference w:id="13"/>
      </w:r>
      <w:r w:rsidR="007E7197">
        <w:t>, and the discretionary fee being payable in amounts to be determined by the Company at its discretion.]</w:t>
      </w:r>
    </w:p>
    <w:p w14:paraId="52D641E6" w14:textId="50B18E26" w:rsidR="000F6262" w:rsidRDefault="000F6262" w:rsidP="001A64F2">
      <w:pPr>
        <w:ind w:left="360"/>
        <w:jc w:val="both"/>
      </w:pPr>
    </w:p>
    <w:p w14:paraId="16D927ED" w14:textId="56A4B624" w:rsidR="00D3416E" w:rsidRDefault="008834EE" w:rsidP="001A64F2">
      <w:pPr>
        <w:jc w:val="both"/>
      </w:pPr>
      <w:r>
        <w:rPr>
          <w:szCs w:val="22"/>
        </w:rPr>
        <w:t>[</w:t>
      </w:r>
      <w:r w:rsidR="007E7197" w:rsidRPr="003821FC">
        <w:rPr>
          <w:szCs w:val="22"/>
        </w:rPr>
        <w:t xml:space="preserve">The </w:t>
      </w:r>
      <w:r w:rsidR="007E7197" w:rsidRPr="00E647ED">
        <w:rPr>
          <w:szCs w:val="22"/>
        </w:rPr>
        <w:t xml:space="preserve">foregoing fees shall be withheld by </w:t>
      </w:r>
      <w:r w:rsidR="002E7684">
        <w:rPr>
          <w:szCs w:val="22"/>
        </w:rPr>
        <w:t xml:space="preserve">the </w:t>
      </w:r>
      <w:r w:rsidR="007E7197" w:rsidRPr="00E647ED">
        <w:rPr>
          <w:szCs w:val="22"/>
        </w:rPr>
        <w:t xml:space="preserve">settlement manager and paid from </w:t>
      </w:r>
      <w:r w:rsidR="001C46FA" w:rsidRPr="00E647ED">
        <w:rPr>
          <w:szCs w:val="22"/>
        </w:rPr>
        <w:t xml:space="preserve">the </w:t>
      </w:r>
      <w:r w:rsidR="007E7197" w:rsidRPr="00E647ED">
        <w:rPr>
          <w:szCs w:val="22"/>
        </w:rPr>
        <w:t>proceeds</w:t>
      </w:r>
      <w:r w:rsidR="001C46FA" w:rsidRPr="00E647ED">
        <w:rPr>
          <w:szCs w:val="22"/>
        </w:rPr>
        <w:t xml:space="preserve"> of the Offering</w:t>
      </w:r>
      <w:r w:rsidR="007E7197" w:rsidRPr="00E647ED">
        <w:rPr>
          <w:szCs w:val="22"/>
        </w:rPr>
        <w:t xml:space="preserve"> within [X] </w:t>
      </w:r>
      <w:r w:rsidR="00FD6A18">
        <w:rPr>
          <w:szCs w:val="22"/>
        </w:rPr>
        <w:t xml:space="preserve">[Hong Kong business] </w:t>
      </w:r>
      <w:r w:rsidR="007E7197" w:rsidRPr="00E647ED">
        <w:rPr>
          <w:szCs w:val="22"/>
        </w:rPr>
        <w:t xml:space="preserve">days of </w:t>
      </w:r>
      <w:r w:rsidR="007E7197" w:rsidRPr="00E7788F">
        <w:rPr>
          <w:szCs w:val="22"/>
        </w:rPr>
        <w:t>closing</w:t>
      </w:r>
      <w:r w:rsidR="001C46FA" w:rsidRPr="00E7788F">
        <w:rPr>
          <w:szCs w:val="22"/>
        </w:rPr>
        <w:t>.</w:t>
      </w:r>
      <w:r w:rsidRPr="006D636C">
        <w:rPr>
          <w:szCs w:val="22"/>
        </w:rPr>
        <w:t xml:space="preserve">]/[The foregoing fees shall be paid by the Company within [X] </w:t>
      </w:r>
      <w:r w:rsidR="00FD6A18">
        <w:rPr>
          <w:szCs w:val="22"/>
        </w:rPr>
        <w:t xml:space="preserve">[Hong Kong business] </w:t>
      </w:r>
      <w:r w:rsidRPr="006D636C">
        <w:rPr>
          <w:szCs w:val="22"/>
        </w:rPr>
        <w:t xml:space="preserve">days after </w:t>
      </w:r>
      <w:r w:rsidRPr="008E5327">
        <w:rPr>
          <w:szCs w:val="22"/>
        </w:rPr>
        <w:t>closing of the Offering.]</w:t>
      </w:r>
      <w:r w:rsidR="001C46FA" w:rsidRPr="00E647ED">
        <w:rPr>
          <w:szCs w:val="22"/>
        </w:rPr>
        <w:t xml:space="preserve"> </w:t>
      </w:r>
    </w:p>
    <w:p w14:paraId="23DD7109" w14:textId="77777777" w:rsidR="00D3416E" w:rsidRDefault="00D3416E">
      <w:pPr>
        <w:jc w:val="both"/>
      </w:pPr>
    </w:p>
    <w:p w14:paraId="1E34779C" w14:textId="7035AF23" w:rsidR="00D3416E" w:rsidRDefault="00D3416E" w:rsidP="00464F83">
      <w:pPr>
        <w:ind w:firstLine="720"/>
        <w:jc w:val="both"/>
      </w:pPr>
      <w:r>
        <w:t>We look forward to working with you on this important transaction. Please confirm that the foregoing</w:t>
      </w:r>
      <w:r w:rsidR="00F1483B">
        <w:t xml:space="preserve">, as well as the Terms and Conditions </w:t>
      </w:r>
      <w:r w:rsidR="00BC42D5">
        <w:t>[</w:t>
      </w:r>
      <w:r w:rsidR="00F1483B">
        <w:t>contained in Appendix A hereto</w:t>
      </w:r>
      <w:r w:rsidR="00BC42D5">
        <w:t>]/[following immediately below]</w:t>
      </w:r>
      <w:r w:rsidR="00F1483B">
        <w:t>, are</w:t>
      </w:r>
      <w:r>
        <w:t xml:space="preserve"> in accordance with your understanding of our agreement by </w:t>
      </w:r>
      <w:r w:rsidR="006E667B">
        <w:t>[</w:t>
      </w:r>
      <w:r>
        <w:t xml:space="preserve">signing and returning to us a copy of this </w:t>
      </w:r>
      <w:r w:rsidR="00FD6A18">
        <w:t xml:space="preserve">appointment </w:t>
      </w:r>
      <w:r>
        <w:t>letter</w:t>
      </w:r>
      <w:r w:rsidR="006E667B">
        <w:t>][return email containing an express confirmation</w:t>
      </w:r>
      <w:r w:rsidR="00524FF2">
        <w:t xml:space="preserve"> such as “acknowledged and agreed.”</w:t>
      </w:r>
      <w:r w:rsidR="006E667B">
        <w:t>]</w:t>
      </w:r>
      <w:r>
        <w:t>.</w:t>
      </w:r>
      <w:r w:rsidR="00DF055C">
        <w:t xml:space="preserve"> </w:t>
      </w:r>
    </w:p>
    <w:p w14:paraId="5DDD578A" w14:textId="77777777" w:rsidR="00D3416E" w:rsidRDefault="00BC42D5">
      <w:pPr>
        <w:jc w:val="both"/>
      </w:pPr>
      <w:r>
        <w:t>[</w:t>
      </w:r>
      <w:r w:rsidR="00D3416E">
        <w:t>Yours sincerely,</w:t>
      </w:r>
    </w:p>
    <w:p w14:paraId="0F7427FF" w14:textId="77777777" w:rsidR="00D3416E" w:rsidRDefault="00D3416E">
      <w:pPr>
        <w:jc w:val="both"/>
      </w:pPr>
    </w:p>
    <w:p w14:paraId="762F1376" w14:textId="77777777" w:rsidR="00D3416E" w:rsidRDefault="00D3416E" w:rsidP="00EC5314">
      <w:pPr>
        <w:suppressAutoHyphens/>
        <w:ind w:right="-864"/>
        <w:rPr>
          <w:color w:val="000000"/>
        </w:rPr>
      </w:pPr>
      <w:r>
        <w:rPr>
          <w:spacing w:val="-2"/>
        </w:rPr>
        <w:t>[</w:t>
      </w:r>
      <w:r w:rsidR="00EC5314">
        <w:rPr>
          <w:spacing w:val="-2"/>
        </w:rPr>
        <w:t>OC</w:t>
      </w:r>
      <w:r w:rsidR="0054627D">
        <w:rPr>
          <w:spacing w:val="-2"/>
        </w:rPr>
        <w:t>/</w:t>
      </w:r>
      <w:r w:rsidR="0044522C">
        <w:rPr>
          <w:spacing w:val="-2"/>
        </w:rPr>
        <w:t>S</w:t>
      </w:r>
      <w:r w:rsidR="0054627D">
        <w:rPr>
          <w:spacing w:val="-2"/>
        </w:rPr>
        <w:t>CMI</w:t>
      </w:r>
      <w:r w:rsidR="00EC5314">
        <w:rPr>
          <w:spacing w:val="-2"/>
        </w:rPr>
        <w:t xml:space="preserve"> ENTITY]</w:t>
      </w:r>
    </w:p>
    <w:p w14:paraId="070A8E0E" w14:textId="77777777" w:rsidR="00D3416E" w:rsidRDefault="00D3416E">
      <w:pPr>
        <w:jc w:val="both"/>
      </w:pPr>
    </w:p>
    <w:p w14:paraId="3AF8700D" w14:textId="77777777" w:rsidR="00D3416E" w:rsidRDefault="00D3416E">
      <w:pPr>
        <w:jc w:val="both"/>
      </w:pPr>
    </w:p>
    <w:p w14:paraId="67EF68B4" w14:textId="77777777" w:rsidR="00D3416E" w:rsidRDefault="00D3416E">
      <w:pPr>
        <w:jc w:val="both"/>
      </w:pPr>
      <w:r>
        <w:t>By: ______________________________</w:t>
      </w:r>
    </w:p>
    <w:p w14:paraId="6690B441" w14:textId="77777777" w:rsidR="00D3416E" w:rsidRDefault="00D3416E">
      <w:pPr>
        <w:jc w:val="both"/>
      </w:pPr>
      <w:r>
        <w:t xml:space="preserve">[Name]  </w:t>
      </w:r>
    </w:p>
    <w:p w14:paraId="58600CE9" w14:textId="77777777" w:rsidR="00D3416E" w:rsidRDefault="00EC5314">
      <w:pPr>
        <w:jc w:val="both"/>
      </w:pPr>
      <w:r>
        <w:t>[Title]</w:t>
      </w:r>
    </w:p>
    <w:p w14:paraId="77DC24AD" w14:textId="77777777" w:rsidR="00D3416E" w:rsidRDefault="00D3416E">
      <w:pPr>
        <w:jc w:val="both"/>
      </w:pPr>
    </w:p>
    <w:p w14:paraId="5377FF7A" w14:textId="77777777" w:rsidR="00D3416E" w:rsidRDefault="00D3416E">
      <w:pPr>
        <w:jc w:val="both"/>
      </w:pPr>
    </w:p>
    <w:p w14:paraId="4F750683" w14:textId="77777777" w:rsidR="00630F08" w:rsidRDefault="00630F08">
      <w:pPr>
        <w:widowControl/>
      </w:pPr>
      <w:r>
        <w:br w:type="page"/>
      </w:r>
    </w:p>
    <w:p w14:paraId="3D90C443" w14:textId="28BC00BC" w:rsidR="00D3416E" w:rsidRDefault="00EC5314">
      <w:pPr>
        <w:jc w:val="both"/>
      </w:pPr>
      <w:r>
        <w:lastRenderedPageBreak/>
        <w:t>[</w:t>
      </w:r>
      <w:r w:rsidR="00D3416E">
        <w:t xml:space="preserve">Accepted and agreed to as of the </w:t>
      </w:r>
    </w:p>
    <w:p w14:paraId="75C6091E" w14:textId="77777777" w:rsidR="00D3416E" w:rsidRDefault="00D3416E">
      <w:pPr>
        <w:jc w:val="both"/>
      </w:pPr>
      <w:r>
        <w:t xml:space="preserve">date set forth above:  </w:t>
      </w:r>
    </w:p>
    <w:p w14:paraId="4958A861" w14:textId="77777777" w:rsidR="00D3416E" w:rsidRDefault="00D3416E">
      <w:pPr>
        <w:jc w:val="both"/>
      </w:pPr>
    </w:p>
    <w:p w14:paraId="69405B0A" w14:textId="77777777" w:rsidR="00D3416E" w:rsidRDefault="00D3416E">
      <w:pPr>
        <w:jc w:val="both"/>
      </w:pPr>
      <w:r>
        <w:t>[NAME OF COMPANY]</w:t>
      </w:r>
      <w:r w:rsidR="00EC5314">
        <w:t xml:space="preserve"> </w:t>
      </w:r>
    </w:p>
    <w:p w14:paraId="64F18B9C" w14:textId="77777777" w:rsidR="00D3416E" w:rsidRDefault="00D3416E">
      <w:pPr>
        <w:jc w:val="both"/>
      </w:pPr>
    </w:p>
    <w:p w14:paraId="2185DEFA" w14:textId="77777777" w:rsidR="00D3416E" w:rsidRDefault="00D3416E">
      <w:pPr>
        <w:jc w:val="both"/>
      </w:pPr>
      <w:r>
        <w:t>By: ______________________________</w:t>
      </w:r>
    </w:p>
    <w:p w14:paraId="27C7E79A" w14:textId="77777777" w:rsidR="00D3416E" w:rsidRDefault="00D3416E">
      <w:pPr>
        <w:jc w:val="both"/>
      </w:pPr>
      <w:r>
        <w:t xml:space="preserve">Name:  </w:t>
      </w:r>
    </w:p>
    <w:p w14:paraId="78291C24" w14:textId="4D70C1B5" w:rsidR="00D3416E" w:rsidRDefault="00D3416E" w:rsidP="0074439B">
      <w:pPr>
        <w:jc w:val="both"/>
      </w:pPr>
      <w:r>
        <w:t xml:space="preserve">Title:  </w:t>
      </w:r>
      <w:r w:rsidR="00EC5314">
        <w:t xml:space="preserve">] </w:t>
      </w:r>
      <w:r w:rsidR="00BC42D5">
        <w:t>/</w:t>
      </w:r>
      <w:r w:rsidR="00EC5314">
        <w:t>[</w:t>
      </w:r>
      <w:r w:rsidR="00BC42D5">
        <w:t xml:space="preserve">SENDER TO </w:t>
      </w:r>
      <w:r w:rsidR="00EC5314">
        <w:t xml:space="preserve">CONSIDER </w:t>
      </w:r>
      <w:r w:rsidR="00BC42D5">
        <w:t>HOUSE</w:t>
      </w:r>
      <w:r w:rsidR="00EC5314">
        <w:t xml:space="preserve"> </w:t>
      </w:r>
      <w:r w:rsidR="00BC42D5">
        <w:t>STYLE FOR EMAIL SIGN-OFF</w:t>
      </w:r>
    </w:p>
    <w:p w14:paraId="5C299493" w14:textId="57879DBD" w:rsidR="00630F08" w:rsidRDefault="00630F08">
      <w:pPr>
        <w:widowControl/>
      </w:pPr>
      <w:r>
        <w:br w:type="page"/>
      </w:r>
    </w:p>
    <w:p w14:paraId="238ED978" w14:textId="79C409B4" w:rsidR="00D3416E" w:rsidRPr="00F1483B" w:rsidRDefault="009C1427">
      <w:pPr>
        <w:rPr>
          <w:b/>
          <w:bCs/>
          <w:u w:val="single"/>
        </w:rPr>
      </w:pPr>
      <w:r w:rsidRPr="00F1483B">
        <w:rPr>
          <w:b/>
          <w:bCs/>
          <w:u w:val="single"/>
        </w:rPr>
        <w:lastRenderedPageBreak/>
        <w:t>APPENDIX A</w:t>
      </w:r>
    </w:p>
    <w:p w14:paraId="3A3984D2" w14:textId="77777777" w:rsidR="009C1427" w:rsidRDefault="009C1427"/>
    <w:p w14:paraId="4BA936EB" w14:textId="77777777" w:rsidR="009C1427" w:rsidRPr="00F1483B" w:rsidRDefault="009C1427" w:rsidP="009C1427">
      <w:pPr>
        <w:jc w:val="center"/>
        <w:rPr>
          <w:smallCaps/>
          <w:u w:val="single"/>
        </w:rPr>
      </w:pPr>
      <w:r w:rsidRPr="00F1483B">
        <w:rPr>
          <w:smallCaps/>
          <w:u w:val="single"/>
        </w:rPr>
        <w:t>Terms and Conditions</w:t>
      </w:r>
    </w:p>
    <w:p w14:paraId="35ACABEA" w14:textId="77777777" w:rsidR="009C1427" w:rsidRDefault="009C1427" w:rsidP="009C1427">
      <w:pPr>
        <w:jc w:val="center"/>
        <w:rPr>
          <w:u w:val="single"/>
        </w:rPr>
      </w:pPr>
    </w:p>
    <w:p w14:paraId="4AF4C915" w14:textId="242F8333" w:rsidR="00CA1516" w:rsidRDefault="009C1427" w:rsidP="009C1427">
      <w:r w:rsidRPr="00F1483B">
        <w:t>The following terms and conditions shall apply to the Company’s appoint</w:t>
      </w:r>
      <w:r w:rsidR="00BA3FE7">
        <w:t>ment</w:t>
      </w:r>
      <w:r w:rsidRPr="00F1483B">
        <w:t xml:space="preserve"> of [</w:t>
      </w:r>
      <w:r w:rsidR="00BA3FE7">
        <w:t>OC/SCMI</w:t>
      </w:r>
      <w:r w:rsidRPr="00F1483B">
        <w:t>]</w:t>
      </w:r>
      <w:r w:rsidR="00F1483B">
        <w:t xml:space="preserve"> as described in the above appointment letter</w:t>
      </w:r>
      <w:r w:rsidRPr="00F1483B">
        <w:t>. Capitalized terms used</w:t>
      </w:r>
      <w:r w:rsidR="00CA1516">
        <w:rPr>
          <w:u w:val="single"/>
        </w:rPr>
        <w:t xml:space="preserve"> </w:t>
      </w:r>
      <w:r w:rsidR="00CA1516">
        <w:t>herein shall have the meanings ascribed to them in appointment letter to which these terms and conditions are appended.</w:t>
      </w:r>
    </w:p>
    <w:p w14:paraId="1F88FDBA" w14:textId="77777777" w:rsidR="00CA1516" w:rsidRDefault="00CA1516" w:rsidP="00CA1516">
      <w:pPr>
        <w:jc w:val="both"/>
        <w:rPr>
          <w:bCs/>
        </w:rPr>
      </w:pPr>
    </w:p>
    <w:p w14:paraId="657A7E38" w14:textId="77777777" w:rsidR="00CA1516" w:rsidRDefault="00F1483B" w:rsidP="00CA1516">
      <w:pPr>
        <w:numPr>
          <w:ilvl w:val="0"/>
          <w:numId w:val="34"/>
        </w:numPr>
        <w:ind w:left="270" w:hanging="270"/>
        <w:jc w:val="both"/>
        <w:rPr>
          <w:b/>
        </w:rPr>
      </w:pPr>
      <w:r>
        <w:rPr>
          <w:b/>
        </w:rPr>
        <w:t>[</w:t>
      </w:r>
      <w:r w:rsidR="00CA1516" w:rsidRPr="00F1483B">
        <w:rPr>
          <w:b/>
        </w:rPr>
        <w:t>Expenses and Payment</w:t>
      </w:r>
      <w:r w:rsidR="00FC2647">
        <w:rPr>
          <w:b/>
        </w:rPr>
        <w:t xml:space="preserve"> </w:t>
      </w:r>
    </w:p>
    <w:p w14:paraId="27490648" w14:textId="77777777" w:rsidR="00CA1516" w:rsidRDefault="00CA1516" w:rsidP="00CA1516">
      <w:pPr>
        <w:jc w:val="both"/>
        <w:rPr>
          <w:b/>
        </w:rPr>
      </w:pPr>
    </w:p>
    <w:p w14:paraId="3782CD20" w14:textId="79A4CC26" w:rsidR="00CA1516" w:rsidRPr="00667F69" w:rsidRDefault="00CA1516" w:rsidP="00F1483B">
      <w:pPr>
        <w:numPr>
          <w:ilvl w:val="0"/>
          <w:numId w:val="37"/>
        </w:numPr>
        <w:ind w:left="720" w:hanging="450"/>
        <w:jc w:val="both"/>
        <w:rPr>
          <w:szCs w:val="22"/>
        </w:rPr>
      </w:pPr>
      <w:r w:rsidRPr="00667F69">
        <w:rPr>
          <w:color w:val="000000"/>
          <w:szCs w:val="22"/>
        </w:rPr>
        <w:t xml:space="preserve">The Company will bear all legal, accounting, printing and other expenses in connection with the Offering. [For PRC clients who need to reimburse </w:t>
      </w:r>
      <w:r w:rsidRPr="003C0EB4">
        <w:rPr>
          <w:color w:val="000000"/>
          <w:szCs w:val="22"/>
        </w:rPr>
        <w:t>[OC/</w:t>
      </w:r>
      <w:r w:rsidR="0044522C">
        <w:rPr>
          <w:color w:val="000000"/>
          <w:szCs w:val="22"/>
        </w:rPr>
        <w:t>S</w:t>
      </w:r>
      <w:r w:rsidRPr="003C0EB4">
        <w:rPr>
          <w:color w:val="000000"/>
          <w:szCs w:val="22"/>
        </w:rPr>
        <w:t xml:space="preserve">CMI] </w:t>
      </w:r>
      <w:r w:rsidRPr="00667F69">
        <w:rPr>
          <w:color w:val="000000"/>
          <w:szCs w:val="22"/>
        </w:rPr>
        <w:t xml:space="preserve">from on-shore PRC accounts, include the following: The Company acknowledges that such expenses are incurred in connection with services provided or to be provided by </w:t>
      </w:r>
      <w:r w:rsidRPr="003C0EB4">
        <w:rPr>
          <w:color w:val="000000"/>
          <w:szCs w:val="22"/>
        </w:rPr>
        <w:t>[OC/</w:t>
      </w:r>
      <w:r w:rsidR="0044522C">
        <w:rPr>
          <w:color w:val="000000"/>
          <w:szCs w:val="22"/>
        </w:rPr>
        <w:t>S</w:t>
      </w:r>
      <w:r w:rsidRPr="003C0EB4">
        <w:rPr>
          <w:color w:val="000000"/>
          <w:szCs w:val="22"/>
        </w:rPr>
        <w:t xml:space="preserve">CMI] </w:t>
      </w:r>
      <w:r w:rsidRPr="00667F69">
        <w:rPr>
          <w:color w:val="000000"/>
          <w:szCs w:val="22"/>
        </w:rPr>
        <w:t xml:space="preserve">in accordance with this </w:t>
      </w:r>
      <w:r w:rsidR="00FD6A18">
        <w:rPr>
          <w:color w:val="000000"/>
          <w:szCs w:val="22"/>
        </w:rPr>
        <w:t xml:space="preserve">appointment </w:t>
      </w:r>
      <w:r w:rsidRPr="00667F69">
        <w:rPr>
          <w:color w:val="000000"/>
          <w:szCs w:val="22"/>
        </w:rPr>
        <w:t xml:space="preserve">letter, irrespective of whether </w:t>
      </w:r>
      <w:r w:rsidR="00FD6A18">
        <w:rPr>
          <w:color w:val="000000"/>
          <w:szCs w:val="22"/>
        </w:rPr>
        <w:t>the</w:t>
      </w:r>
      <w:r w:rsidR="00787F86">
        <w:rPr>
          <w:color w:val="000000"/>
          <w:szCs w:val="22"/>
        </w:rPr>
        <w:t xml:space="preserve"> </w:t>
      </w:r>
      <w:r w:rsidRPr="00667F69">
        <w:rPr>
          <w:color w:val="000000"/>
          <w:szCs w:val="22"/>
        </w:rPr>
        <w:t>Offering is proposed or completed</w:t>
      </w:r>
      <w:r w:rsidRPr="003C0EB4">
        <w:rPr>
          <w:color w:val="000000"/>
          <w:szCs w:val="22"/>
        </w:rPr>
        <w:t>.</w:t>
      </w:r>
      <w:r w:rsidR="00FC2647">
        <w:rPr>
          <w:color w:val="000000"/>
          <w:szCs w:val="22"/>
        </w:rPr>
        <w:t xml:space="preserve"> </w:t>
      </w:r>
    </w:p>
    <w:p w14:paraId="30041DB7" w14:textId="77777777" w:rsidR="00CA1516" w:rsidRDefault="00CA1516" w:rsidP="00F1483B">
      <w:pPr>
        <w:ind w:left="720" w:hanging="450"/>
        <w:jc w:val="both"/>
        <w:rPr>
          <w:color w:val="000000"/>
          <w:sz w:val="27"/>
          <w:szCs w:val="27"/>
        </w:rPr>
      </w:pPr>
    </w:p>
    <w:p w14:paraId="0D28A9E6" w14:textId="3C26F9A9" w:rsidR="00CA1516" w:rsidRPr="006547A3" w:rsidRDefault="00CA1516" w:rsidP="00147106">
      <w:pPr>
        <w:numPr>
          <w:ilvl w:val="0"/>
          <w:numId w:val="37"/>
        </w:numPr>
        <w:ind w:left="720" w:hanging="450"/>
        <w:jc w:val="both"/>
        <w:rPr>
          <w:b/>
        </w:rPr>
      </w:pPr>
      <w:r w:rsidRPr="003C0EB4">
        <w:rPr>
          <w:color w:val="000000"/>
          <w:szCs w:val="22"/>
        </w:rPr>
        <w:t>All amounts payable to [OC/</w:t>
      </w:r>
      <w:r w:rsidR="0044522C">
        <w:rPr>
          <w:color w:val="000000"/>
          <w:szCs w:val="22"/>
        </w:rPr>
        <w:t>S</w:t>
      </w:r>
      <w:r w:rsidRPr="003C0EB4">
        <w:rPr>
          <w:color w:val="000000"/>
          <w:szCs w:val="22"/>
        </w:rPr>
        <w:t>CMI] or its affiliates hereunder are stated in [HK/U.S. dollars] and shall be paid in immediately available funds in [HK/U.S. dollars], free and clear of any applicable tax whether income taxes, withholding taxes, value-added taxes, goods and services taxes, business or services taxes or similar taxes other than taxes imposed in respect of net income by a taxing jurisdiction wherein the recipient is incorporated or resident for tax purposes.</w:t>
      </w:r>
      <w:r w:rsidR="006168B9">
        <w:rPr>
          <w:rStyle w:val="FootnoteReference"/>
          <w:color w:val="000000"/>
          <w:szCs w:val="22"/>
        </w:rPr>
        <w:footnoteReference w:id="14"/>
      </w:r>
      <w:r w:rsidR="000B55BF">
        <w:rPr>
          <w:color w:val="000000"/>
          <w:szCs w:val="22"/>
        </w:rPr>
        <w:t>]</w:t>
      </w:r>
    </w:p>
    <w:p w14:paraId="6C0AA528" w14:textId="77777777" w:rsidR="00CA1516" w:rsidRDefault="00CA1516" w:rsidP="00CA1516">
      <w:pPr>
        <w:jc w:val="both"/>
        <w:rPr>
          <w:b/>
        </w:rPr>
      </w:pPr>
    </w:p>
    <w:p w14:paraId="14420A3A" w14:textId="7F0FA970" w:rsidR="00136579" w:rsidRDefault="00136579" w:rsidP="00CA1516">
      <w:pPr>
        <w:numPr>
          <w:ilvl w:val="0"/>
          <w:numId w:val="34"/>
        </w:numPr>
        <w:ind w:left="270" w:hanging="270"/>
        <w:jc w:val="both"/>
        <w:rPr>
          <w:b/>
          <w:bCs/>
        </w:rPr>
      </w:pPr>
      <w:r>
        <w:rPr>
          <w:b/>
          <w:bCs/>
        </w:rPr>
        <w:t>[</w:t>
      </w:r>
      <w:r w:rsidRPr="007C331C">
        <w:rPr>
          <w:b/>
          <w:bCs/>
        </w:rPr>
        <w:t>Company Obligations</w:t>
      </w:r>
    </w:p>
    <w:p w14:paraId="16E43336" w14:textId="77777777" w:rsidR="004E59FC" w:rsidRPr="007C331C" w:rsidRDefault="004E59FC" w:rsidP="007C331C">
      <w:pPr>
        <w:ind w:left="270"/>
        <w:jc w:val="both"/>
        <w:rPr>
          <w:b/>
          <w:bCs/>
        </w:rPr>
      </w:pPr>
    </w:p>
    <w:p w14:paraId="241E8F67" w14:textId="40B717F3" w:rsidR="004E59FC" w:rsidRDefault="004E59FC" w:rsidP="004E59FC">
      <w:pPr>
        <w:ind w:left="270"/>
        <w:jc w:val="both"/>
        <w:rPr>
          <w:color w:val="000000"/>
          <w:szCs w:val="22"/>
        </w:rPr>
      </w:pPr>
      <w:r w:rsidRPr="004E59FC">
        <w:rPr>
          <w:color w:val="000000"/>
          <w:szCs w:val="22"/>
        </w:rPr>
        <w:t>To facilitate [</w:t>
      </w:r>
      <w:r w:rsidRPr="003C0EB4">
        <w:rPr>
          <w:color w:val="000000"/>
          <w:szCs w:val="22"/>
        </w:rPr>
        <w:t>OC/</w:t>
      </w:r>
      <w:r>
        <w:rPr>
          <w:color w:val="000000"/>
          <w:szCs w:val="22"/>
        </w:rPr>
        <w:t>S</w:t>
      </w:r>
      <w:r w:rsidRPr="003C0EB4">
        <w:rPr>
          <w:color w:val="000000"/>
          <w:szCs w:val="22"/>
        </w:rPr>
        <w:t>CMI</w:t>
      </w:r>
      <w:r w:rsidRPr="004E59FC">
        <w:rPr>
          <w:color w:val="000000"/>
          <w:szCs w:val="22"/>
        </w:rPr>
        <w:t xml:space="preserve">] in identifying investors to whom the allocation of equity securities or interests would be subject to restrictions or require prior consent from the Hong Kong Stock Exchange under the Listing Rules, and for each syndicate CMI to meet its obligations and responsibilities under the Code and Rule 3A.46 under the Listing Rules, the Company agrees: </w:t>
      </w:r>
    </w:p>
    <w:p w14:paraId="437035E3" w14:textId="77777777" w:rsidR="004E59FC" w:rsidRDefault="004E59FC" w:rsidP="004E59FC">
      <w:pPr>
        <w:ind w:left="270"/>
        <w:jc w:val="both"/>
        <w:rPr>
          <w:color w:val="000000"/>
          <w:szCs w:val="22"/>
        </w:rPr>
      </w:pPr>
    </w:p>
    <w:p w14:paraId="42D02CA4" w14:textId="21439E5B" w:rsidR="004E59FC" w:rsidRDefault="004E59FC" w:rsidP="004E59FC">
      <w:pPr>
        <w:pStyle w:val="ListParagraph"/>
        <w:numPr>
          <w:ilvl w:val="0"/>
          <w:numId w:val="39"/>
        </w:numPr>
        <w:ind w:left="720" w:hanging="450"/>
        <w:jc w:val="both"/>
        <w:rPr>
          <w:color w:val="000000"/>
          <w:szCs w:val="22"/>
        </w:rPr>
      </w:pPr>
      <w:r w:rsidRPr="00AD1DB9">
        <w:rPr>
          <w:color w:val="000000"/>
          <w:szCs w:val="22"/>
        </w:rPr>
        <w:t xml:space="preserve">to provide each syndicate member with a list of its directors and existing shareholders, its and their respective close associates and any persons who are engaged by or will act as a nominee for any of the foregoing persons to subscribe for, or purchase, equity securities or interests in connection with the Offering as soon as practicable, and in any event at least </w:t>
      </w:r>
      <w:r>
        <w:rPr>
          <w:color w:val="000000"/>
          <w:szCs w:val="22"/>
        </w:rPr>
        <w:t>four</w:t>
      </w:r>
      <w:r w:rsidRPr="00AD1DB9">
        <w:rPr>
          <w:color w:val="000000"/>
          <w:szCs w:val="22"/>
        </w:rPr>
        <w:t xml:space="preserve"> clear business days before the date of the listing hearing; </w:t>
      </w:r>
    </w:p>
    <w:p w14:paraId="0B8706DF" w14:textId="77777777" w:rsidR="004E59FC" w:rsidRDefault="004E59FC" w:rsidP="007C331C">
      <w:pPr>
        <w:pStyle w:val="ListParagraph"/>
        <w:jc w:val="both"/>
        <w:rPr>
          <w:color w:val="000000"/>
          <w:szCs w:val="22"/>
        </w:rPr>
      </w:pPr>
    </w:p>
    <w:p w14:paraId="474D6DFD" w14:textId="4DD79007" w:rsidR="004E59FC" w:rsidRDefault="004E59FC" w:rsidP="004E59FC">
      <w:pPr>
        <w:pStyle w:val="ListParagraph"/>
        <w:numPr>
          <w:ilvl w:val="0"/>
          <w:numId w:val="39"/>
        </w:numPr>
        <w:ind w:left="720" w:hanging="450"/>
        <w:jc w:val="both"/>
        <w:rPr>
          <w:color w:val="000000"/>
          <w:szCs w:val="22"/>
        </w:rPr>
      </w:pPr>
      <w:r w:rsidRPr="00AD1DB9">
        <w:rPr>
          <w:color w:val="000000"/>
          <w:szCs w:val="22"/>
        </w:rPr>
        <w:t xml:space="preserve">to </w:t>
      </w:r>
      <w:r>
        <w:rPr>
          <w:color w:val="000000"/>
          <w:szCs w:val="22"/>
        </w:rPr>
        <w:t>inform</w:t>
      </w:r>
      <w:r w:rsidRPr="00AD1DB9">
        <w:rPr>
          <w:color w:val="000000"/>
          <w:szCs w:val="22"/>
        </w:rPr>
        <w:t xml:space="preserve"> </w:t>
      </w:r>
      <w:r>
        <w:rPr>
          <w:color w:val="000000"/>
          <w:szCs w:val="22"/>
        </w:rPr>
        <w:t>[</w:t>
      </w:r>
      <w:r w:rsidRPr="003C0EB4">
        <w:rPr>
          <w:color w:val="000000"/>
          <w:szCs w:val="22"/>
        </w:rPr>
        <w:t>OC/</w:t>
      </w:r>
      <w:r>
        <w:rPr>
          <w:color w:val="000000"/>
          <w:szCs w:val="22"/>
        </w:rPr>
        <w:t>S</w:t>
      </w:r>
      <w:r w:rsidRPr="003C0EB4">
        <w:rPr>
          <w:color w:val="000000"/>
          <w:szCs w:val="22"/>
        </w:rPr>
        <w:t>CMI</w:t>
      </w:r>
      <w:r>
        <w:rPr>
          <w:color w:val="000000"/>
          <w:szCs w:val="22"/>
        </w:rPr>
        <w:t xml:space="preserve">] </w:t>
      </w:r>
      <w:r w:rsidRPr="00AD1DB9">
        <w:rPr>
          <w:color w:val="000000"/>
          <w:szCs w:val="22"/>
        </w:rPr>
        <w:t>of any material changes to information provided under sub-paragraph (</w:t>
      </w:r>
      <w:r>
        <w:rPr>
          <w:color w:val="000000"/>
          <w:szCs w:val="22"/>
        </w:rPr>
        <w:t>a</w:t>
      </w:r>
      <w:r w:rsidRPr="00AD1DB9">
        <w:rPr>
          <w:color w:val="000000"/>
          <w:szCs w:val="22"/>
        </w:rPr>
        <w:t>) above as soon as it becomes known to the new applicant and its directors; and</w:t>
      </w:r>
    </w:p>
    <w:p w14:paraId="0AC8DD72" w14:textId="77777777" w:rsidR="004E59FC" w:rsidRDefault="004E59FC" w:rsidP="007C331C">
      <w:pPr>
        <w:pStyle w:val="ListParagraph"/>
        <w:jc w:val="both"/>
        <w:rPr>
          <w:color w:val="000000"/>
          <w:szCs w:val="22"/>
        </w:rPr>
      </w:pPr>
    </w:p>
    <w:p w14:paraId="008157A9" w14:textId="1EAB7120" w:rsidR="004E59FC" w:rsidRPr="00AD1DB9" w:rsidRDefault="004E59FC" w:rsidP="004E59FC">
      <w:pPr>
        <w:pStyle w:val="ListParagraph"/>
        <w:numPr>
          <w:ilvl w:val="0"/>
          <w:numId w:val="39"/>
        </w:numPr>
        <w:ind w:left="720" w:hanging="450"/>
        <w:jc w:val="both"/>
        <w:rPr>
          <w:color w:val="000000"/>
          <w:szCs w:val="22"/>
        </w:rPr>
      </w:pPr>
      <w:r w:rsidRPr="00AD1DB9">
        <w:rPr>
          <w:color w:val="000000"/>
          <w:szCs w:val="22"/>
        </w:rPr>
        <w:t xml:space="preserve">to provide to, or procure for, </w:t>
      </w:r>
      <w:r>
        <w:rPr>
          <w:color w:val="000000"/>
          <w:szCs w:val="22"/>
        </w:rPr>
        <w:t>[</w:t>
      </w:r>
      <w:r w:rsidRPr="003C0EB4">
        <w:rPr>
          <w:color w:val="000000"/>
          <w:szCs w:val="22"/>
        </w:rPr>
        <w:t>OC/</w:t>
      </w:r>
      <w:r>
        <w:rPr>
          <w:color w:val="000000"/>
          <w:szCs w:val="22"/>
        </w:rPr>
        <w:t>S</w:t>
      </w:r>
      <w:r w:rsidRPr="003C0EB4">
        <w:rPr>
          <w:color w:val="000000"/>
          <w:szCs w:val="22"/>
        </w:rPr>
        <w:t>CMI</w:t>
      </w:r>
      <w:r>
        <w:rPr>
          <w:color w:val="000000"/>
          <w:szCs w:val="22"/>
        </w:rPr>
        <w:t>]</w:t>
      </w:r>
      <w:r w:rsidRPr="00AD1DB9">
        <w:rPr>
          <w:color w:val="000000"/>
          <w:szCs w:val="22"/>
        </w:rPr>
        <w:t xml:space="preserve"> all necessary consents for its provision of the information referred to in sub-paragraphs (1) to (2) above to any distributor other than a syndicate member for the same purpose as</w:t>
      </w:r>
      <w:r w:rsidR="00701565">
        <w:rPr>
          <w:color w:val="000000"/>
          <w:szCs w:val="22"/>
        </w:rPr>
        <w:t xml:space="preserve"> set out herein</w:t>
      </w:r>
      <w:r w:rsidRPr="00AD1DB9">
        <w:rPr>
          <w:color w:val="000000"/>
          <w:szCs w:val="22"/>
        </w:rPr>
        <w:t>.</w:t>
      </w:r>
      <w:r>
        <w:rPr>
          <w:color w:val="000000"/>
          <w:szCs w:val="22"/>
        </w:rPr>
        <w:t>]</w:t>
      </w:r>
      <w:r>
        <w:rPr>
          <w:rStyle w:val="FootnoteReference"/>
          <w:color w:val="000000"/>
          <w:szCs w:val="22"/>
        </w:rPr>
        <w:footnoteReference w:id="15"/>
      </w:r>
    </w:p>
    <w:p w14:paraId="5D790A25" w14:textId="07871D9D" w:rsidR="00136579" w:rsidRPr="007C331C" w:rsidRDefault="00136579" w:rsidP="00136579">
      <w:pPr>
        <w:ind w:left="270"/>
        <w:jc w:val="both"/>
        <w:rPr>
          <w:color w:val="000000"/>
          <w:szCs w:val="22"/>
        </w:rPr>
      </w:pPr>
    </w:p>
    <w:p w14:paraId="6587C049" w14:textId="77777777" w:rsidR="00136579" w:rsidRPr="007C331C" w:rsidRDefault="00136579" w:rsidP="007C331C">
      <w:pPr>
        <w:ind w:left="270"/>
        <w:jc w:val="both"/>
        <w:rPr>
          <w:color w:val="000000"/>
          <w:szCs w:val="22"/>
        </w:rPr>
      </w:pPr>
    </w:p>
    <w:p w14:paraId="6F6EF01B" w14:textId="6EC19A1C" w:rsidR="00CA1516" w:rsidRDefault="00CA1516" w:rsidP="00CA1516">
      <w:pPr>
        <w:numPr>
          <w:ilvl w:val="0"/>
          <w:numId w:val="34"/>
        </w:numPr>
        <w:ind w:left="270" w:hanging="270"/>
        <w:jc w:val="both"/>
      </w:pPr>
      <w:r>
        <w:rPr>
          <w:b/>
        </w:rPr>
        <w:t>Conditions</w:t>
      </w:r>
    </w:p>
    <w:p w14:paraId="0DFE3053" w14:textId="77777777" w:rsidR="00CA1516" w:rsidRDefault="00CA1516" w:rsidP="00CA1516">
      <w:pPr>
        <w:jc w:val="both"/>
      </w:pPr>
    </w:p>
    <w:p w14:paraId="6B90A502" w14:textId="768A6DB2" w:rsidR="00CA1516" w:rsidRDefault="00CA1516" w:rsidP="00CA1516">
      <w:pPr>
        <w:jc w:val="both"/>
      </w:pPr>
      <w:r>
        <w:t>Nothing in this appointment letter is a commitment, express or implied, on the part of [OC/</w:t>
      </w:r>
      <w:r w:rsidR="009F63BB">
        <w:t>S</w:t>
      </w:r>
      <w:r>
        <w:t xml:space="preserve">CMI ENTITY] to underwrite or purchase the Securities or to commit any capital, nor does it obligate us to enter into an underwriting agreement or similar commitment to finance.  Our participation in any Offering will be subject to, among other things, (i) satisfactory completion of all documentation for the Offering (including a disclosure document </w:t>
      </w:r>
      <w:r w:rsidR="00FC2647" w:rsidRPr="00744E72">
        <w:t>(where applicable)</w:t>
      </w:r>
      <w:r w:rsidR="00FC2647">
        <w:t xml:space="preserve"> </w:t>
      </w:r>
      <w:r>
        <w:t>and an underwriting agreement with customary representations and warranties, conditions to closing, termination and indemnification); (ii) completion of a due diligence review to our satisfaction</w:t>
      </w:r>
      <w:r w:rsidR="003A2C56">
        <w:t>[(including but not limited to legal, business</w:t>
      </w:r>
      <w:r w:rsidR="00786A26">
        <w:t>,</w:t>
      </w:r>
      <w:r w:rsidR="003A2C56">
        <w:t xml:space="preserve"> financial</w:t>
      </w:r>
      <w:r w:rsidR="00786A26">
        <w:t>, and auditor</w:t>
      </w:r>
      <w:r w:rsidR="003A2C56">
        <w:t xml:space="preserve"> due diligence)]</w:t>
      </w:r>
      <w:r>
        <w:t>; (iii) market conditions which are satisfactory to us at the time of launch and in our determination, the absence of any material adverse change in the financial condition, operations or prospects of the Company; (iv) receipt of all required governmental and other approvals and appropriate legal opinions[, including 10b-5 disclosure opinions from counsels acceptable to [OC/</w:t>
      </w:r>
      <w:r w:rsidR="009F63BB">
        <w:t>S</w:t>
      </w:r>
      <w:r>
        <w:t xml:space="preserve">CMI ENTITY]]; and (v) </w:t>
      </w:r>
      <w:r w:rsidRPr="00917C2A">
        <w:rPr>
          <w:color w:val="000000"/>
          <w:szCs w:val="22"/>
        </w:rPr>
        <w:t>mutually acceptable offering size, structure[, ratings] and pricing [and</w:t>
      </w:r>
      <w:r>
        <w:rPr>
          <w:color w:val="000000"/>
          <w:sz w:val="27"/>
          <w:szCs w:val="27"/>
        </w:rPr>
        <w:t xml:space="preserve"> </w:t>
      </w:r>
      <w:r>
        <w:t>receipt of our internal approvals</w:t>
      </w:r>
      <w:r w:rsidR="003A2C56">
        <w:t xml:space="preserve"> [(including commitment committee approval)]</w:t>
      </w:r>
      <w:r>
        <w:t>.  [</w:t>
      </w:r>
      <w:r>
        <w:rPr>
          <w:b/>
          <w:bCs/>
        </w:rPr>
        <w:t>Add other conditions on a deal-specific basis.</w:t>
      </w:r>
      <w:r>
        <w:t>]</w:t>
      </w:r>
    </w:p>
    <w:p w14:paraId="27173B29" w14:textId="77777777" w:rsidR="00CA1516" w:rsidRDefault="00CA1516" w:rsidP="00CA1516">
      <w:pPr>
        <w:jc w:val="both"/>
      </w:pPr>
    </w:p>
    <w:p w14:paraId="41454A11" w14:textId="72AD9679" w:rsidR="00CA1516" w:rsidRPr="00CA1516" w:rsidRDefault="00CA1516" w:rsidP="00CA1516">
      <w:pPr>
        <w:numPr>
          <w:ilvl w:val="0"/>
          <w:numId w:val="34"/>
        </w:numPr>
        <w:ind w:left="270" w:hanging="270"/>
        <w:jc w:val="both"/>
      </w:pPr>
      <w:r>
        <w:rPr>
          <w:b/>
        </w:rPr>
        <w:t>Term and Termination</w:t>
      </w:r>
    </w:p>
    <w:p w14:paraId="1A375488" w14:textId="77777777" w:rsidR="00CA1516" w:rsidRDefault="00CA1516" w:rsidP="00CA1516">
      <w:pPr>
        <w:jc w:val="both"/>
        <w:rPr>
          <w:b/>
        </w:rPr>
      </w:pPr>
    </w:p>
    <w:p w14:paraId="57B29D87" w14:textId="49708847" w:rsidR="00CA1516" w:rsidRDefault="00CA1516" w:rsidP="00CA1516">
      <w:pPr>
        <w:jc w:val="both"/>
        <w:rPr>
          <w:bCs/>
        </w:rPr>
      </w:pPr>
      <w:r>
        <w:rPr>
          <w:bCs/>
        </w:rPr>
        <w:t>Our engagement hereunder is effective as of t</w:t>
      </w:r>
      <w:r w:rsidR="00DA27BA">
        <w:rPr>
          <w:bCs/>
        </w:rPr>
        <w:t>he date hereof</w:t>
      </w:r>
      <w:r>
        <w:rPr>
          <w:bCs/>
        </w:rPr>
        <w:t xml:space="preserve"> [or INSERT DATE] and </w:t>
      </w:r>
      <w:r w:rsidR="00C95AD2">
        <w:rPr>
          <w:bCs/>
        </w:rPr>
        <w:t xml:space="preserve">may be terminated </w:t>
      </w:r>
      <w:r>
        <w:rPr>
          <w:bCs/>
        </w:rPr>
        <w:t>at any time by either the Company or us by giving written notice to the other party</w:t>
      </w:r>
      <w:r w:rsidRPr="00E26D75">
        <w:rPr>
          <w:bCs/>
          <w:szCs w:val="22"/>
        </w:rPr>
        <w:t xml:space="preserve">.  </w:t>
      </w:r>
      <w:r>
        <w:rPr>
          <w:bCs/>
          <w:szCs w:val="22"/>
        </w:rPr>
        <w:t xml:space="preserve"> </w:t>
      </w:r>
      <w:r w:rsidRPr="003D4FDD">
        <w:rPr>
          <w:color w:val="000000"/>
          <w:szCs w:val="22"/>
        </w:rPr>
        <w:t xml:space="preserve">Termination will not affect </w:t>
      </w:r>
      <w:r w:rsidR="003B7C4D">
        <w:rPr>
          <w:color w:val="FF0000"/>
        </w:rPr>
        <w:t xml:space="preserve">any obligations or undertakings of the Issuer in relation to assisting </w:t>
      </w:r>
      <w:r w:rsidR="0092237B">
        <w:rPr>
          <w:color w:val="FF0000"/>
        </w:rPr>
        <w:t>our</w:t>
      </w:r>
      <w:r w:rsidR="003B7C4D">
        <w:rPr>
          <w:color w:val="FF0000"/>
        </w:rPr>
        <w:t xml:space="preserve"> compliance </w:t>
      </w:r>
      <w:r w:rsidR="0092237B">
        <w:rPr>
          <w:color w:val="FF0000"/>
        </w:rPr>
        <w:t>with</w:t>
      </w:r>
      <w:r w:rsidR="003B7C4D">
        <w:rPr>
          <w:color w:val="FF0000"/>
        </w:rPr>
        <w:t xml:space="preserve"> </w:t>
      </w:r>
      <w:r w:rsidR="00F3156B">
        <w:rPr>
          <w:color w:val="FF0000"/>
        </w:rPr>
        <w:t>p</w:t>
      </w:r>
      <w:r w:rsidR="003B7C4D">
        <w:rPr>
          <w:color w:val="FF0000"/>
        </w:rPr>
        <w:t xml:space="preserve">aragraph 21 of the Code (including without limitation, paragraph 1 of this appointment letter and </w:t>
      </w:r>
      <w:r w:rsidR="00F3156B">
        <w:rPr>
          <w:color w:val="FF0000"/>
        </w:rPr>
        <w:t xml:space="preserve">section </w:t>
      </w:r>
      <w:r w:rsidR="008E0036">
        <w:rPr>
          <w:color w:val="FF0000"/>
        </w:rPr>
        <w:t>[</w:t>
      </w:r>
      <w:r w:rsidR="00F3156B">
        <w:rPr>
          <w:color w:val="FF0000"/>
        </w:rPr>
        <w:t>5</w:t>
      </w:r>
      <w:r w:rsidR="008E0036">
        <w:rPr>
          <w:color w:val="FF0000"/>
        </w:rPr>
        <w:t>]</w:t>
      </w:r>
      <w:r w:rsidR="003B7C4D">
        <w:rPr>
          <w:color w:val="FF0000"/>
        </w:rPr>
        <w:t xml:space="preserve"> of this Appendix A), [</w:t>
      </w:r>
      <w:r w:rsidRPr="003D4FDD">
        <w:rPr>
          <w:color w:val="000000"/>
          <w:szCs w:val="22"/>
        </w:rPr>
        <w:t>any accrued rights or obligations or the provisions relating to the payment of fees and expenses and the provisions relating to indemnification,</w:t>
      </w:r>
      <w:r w:rsidR="003B7C4D">
        <w:rPr>
          <w:color w:val="FF0000"/>
        </w:rPr>
        <w:t>]</w:t>
      </w:r>
      <w:r w:rsidR="003B7C4D">
        <w:t xml:space="preserve"> </w:t>
      </w:r>
      <w:r w:rsidR="003B7C4D">
        <w:rPr>
          <w:i/>
          <w:iCs/>
          <w:caps/>
          <w:color w:val="FF0000"/>
        </w:rPr>
        <w:t>[May be removed pursuant to client’s request, provided similar provisions are included in the subscription agreement]</w:t>
      </w:r>
      <w:r w:rsidRPr="003D4FDD">
        <w:rPr>
          <w:color w:val="000000"/>
          <w:szCs w:val="22"/>
        </w:rPr>
        <w:t xml:space="preserve"> the Company’s submission to </w:t>
      </w:r>
      <w:r w:rsidR="003B7C4D">
        <w:rPr>
          <w:color w:val="000000"/>
          <w:szCs w:val="22"/>
        </w:rPr>
        <w:t>[</w:t>
      </w:r>
      <w:r w:rsidRPr="003D4FDD">
        <w:rPr>
          <w:color w:val="000000"/>
          <w:szCs w:val="22"/>
        </w:rPr>
        <w:t xml:space="preserve">jurisdiction </w:t>
      </w:r>
      <w:r w:rsidR="003B7C4D">
        <w:rPr>
          <w:color w:val="000000"/>
          <w:szCs w:val="22"/>
        </w:rPr>
        <w:t xml:space="preserve"> / </w:t>
      </w:r>
      <w:r w:rsidRPr="003D4FDD">
        <w:rPr>
          <w:color w:val="000000"/>
          <w:szCs w:val="22"/>
        </w:rPr>
        <w:t>arbitration]</w:t>
      </w:r>
      <w:r w:rsidR="003B7C4D">
        <w:rPr>
          <w:color w:val="000000"/>
          <w:szCs w:val="22"/>
        </w:rPr>
        <w:t xml:space="preserve"> and</w:t>
      </w:r>
      <w:r w:rsidRPr="003D4FDD">
        <w:rPr>
          <w:color w:val="000000"/>
          <w:szCs w:val="22"/>
        </w:rPr>
        <w:t xml:space="preserve"> [the waiver of sovereign immunity] </w:t>
      </w:r>
      <w:r w:rsidR="003B7C4D">
        <w:rPr>
          <w:color w:val="FF0000"/>
        </w:rPr>
        <w:t xml:space="preserve">] </w:t>
      </w:r>
      <w:r w:rsidR="003B7C4D">
        <w:rPr>
          <w:i/>
          <w:iCs/>
          <w:caps/>
          <w:color w:val="FF0000"/>
        </w:rPr>
        <w:t>[To be confirmed whether it applies to the issuer]</w:t>
      </w:r>
      <w:r w:rsidR="003B7C4D">
        <w:t xml:space="preserve"> </w:t>
      </w:r>
      <w:r w:rsidRPr="003D4FDD">
        <w:rPr>
          <w:color w:val="000000"/>
          <w:szCs w:val="22"/>
        </w:rPr>
        <w:t xml:space="preserve">will survive any such termination. </w:t>
      </w:r>
      <w:r>
        <w:rPr>
          <w:color w:val="000000"/>
          <w:szCs w:val="22"/>
        </w:rPr>
        <w:t>[</w:t>
      </w:r>
      <w:r w:rsidRPr="003D4FDD">
        <w:rPr>
          <w:color w:val="000000"/>
          <w:szCs w:val="22"/>
        </w:rPr>
        <w:t xml:space="preserve">If within [two years] following termination of this </w:t>
      </w:r>
      <w:r w:rsidR="00FD6A18">
        <w:rPr>
          <w:color w:val="000000"/>
          <w:szCs w:val="22"/>
        </w:rPr>
        <w:t xml:space="preserve">appointment </w:t>
      </w:r>
      <w:r w:rsidRPr="003D4FDD">
        <w:rPr>
          <w:color w:val="000000"/>
          <w:szCs w:val="22"/>
        </w:rPr>
        <w:t xml:space="preserve">letter by the Company the Offering is effected by the Company, </w:t>
      </w:r>
      <w:r>
        <w:rPr>
          <w:color w:val="000000"/>
          <w:szCs w:val="22"/>
        </w:rPr>
        <w:t>we</w:t>
      </w:r>
      <w:r w:rsidRPr="003D4FDD">
        <w:rPr>
          <w:color w:val="000000"/>
          <w:szCs w:val="22"/>
        </w:rPr>
        <w:t xml:space="preserve"> will be entitled to the transaction fee provided for here</w:t>
      </w:r>
      <w:r>
        <w:rPr>
          <w:color w:val="000000"/>
          <w:szCs w:val="22"/>
        </w:rPr>
        <w:t>in.</w:t>
      </w:r>
      <w:r w:rsidR="00F1483B">
        <w:rPr>
          <w:color w:val="000000"/>
          <w:szCs w:val="22"/>
        </w:rPr>
        <w:t>]</w:t>
      </w:r>
      <w:r w:rsidR="003B7C4D">
        <w:rPr>
          <w:color w:val="FF0000"/>
        </w:rPr>
        <w:t xml:space="preserve"> </w:t>
      </w:r>
      <w:r w:rsidR="003B7C4D">
        <w:rPr>
          <w:i/>
          <w:iCs/>
          <w:caps/>
          <w:color w:val="FF0000"/>
        </w:rPr>
        <w:t>[To be decided on commercial level]</w:t>
      </w:r>
    </w:p>
    <w:p w14:paraId="7A521FC1" w14:textId="77777777" w:rsidR="00CA1516" w:rsidRDefault="00CA1516" w:rsidP="00CA1516">
      <w:pPr>
        <w:jc w:val="both"/>
      </w:pPr>
    </w:p>
    <w:p w14:paraId="3B99158A" w14:textId="77777777" w:rsidR="00CA1516" w:rsidRDefault="00CA1516" w:rsidP="00CA1516">
      <w:pPr>
        <w:numPr>
          <w:ilvl w:val="0"/>
          <w:numId w:val="34"/>
        </w:numPr>
        <w:ind w:left="270" w:hanging="270"/>
        <w:jc w:val="both"/>
        <w:rPr>
          <w:b/>
          <w:bCs/>
        </w:rPr>
      </w:pPr>
      <w:r>
        <w:rPr>
          <w:b/>
          <w:bCs/>
        </w:rPr>
        <w:t>Certain Acknowledgments</w:t>
      </w:r>
    </w:p>
    <w:p w14:paraId="7ADC34A8" w14:textId="77777777" w:rsidR="00CA1516" w:rsidRDefault="00CA1516" w:rsidP="00CA1516">
      <w:pPr>
        <w:jc w:val="both"/>
        <w:rPr>
          <w:b/>
          <w:bCs/>
        </w:rPr>
      </w:pPr>
    </w:p>
    <w:p w14:paraId="6CDD15F4" w14:textId="32BA3868" w:rsidR="00CA1516" w:rsidRPr="009D66C6" w:rsidRDefault="00CA1516" w:rsidP="00CA1516">
      <w:pPr>
        <w:numPr>
          <w:ilvl w:val="1"/>
          <w:numId w:val="36"/>
        </w:numPr>
        <w:tabs>
          <w:tab w:val="left" w:pos="810"/>
        </w:tabs>
        <w:spacing w:after="120"/>
        <w:ind w:left="810" w:hanging="540"/>
        <w:jc w:val="both"/>
        <w:rPr>
          <w:szCs w:val="22"/>
        </w:rPr>
      </w:pPr>
      <w:r w:rsidRPr="009956A9">
        <w:rPr>
          <w:color w:val="000000"/>
          <w:szCs w:val="22"/>
        </w:rPr>
        <w:t>As [Financial institution] will be acting as [the sole/a] [OC/</w:t>
      </w:r>
      <w:r w:rsidR="0044522C">
        <w:rPr>
          <w:color w:val="000000"/>
          <w:szCs w:val="22"/>
        </w:rPr>
        <w:t>S</w:t>
      </w:r>
      <w:r w:rsidRPr="009956A9">
        <w:rPr>
          <w:color w:val="000000"/>
          <w:szCs w:val="22"/>
        </w:rPr>
        <w:t>CMI] in connection with the Offering, the Company acknowledges that (i) as an [OC/</w:t>
      </w:r>
      <w:r w:rsidR="0044522C">
        <w:rPr>
          <w:color w:val="000000"/>
          <w:szCs w:val="22"/>
        </w:rPr>
        <w:t>S</w:t>
      </w:r>
      <w:r w:rsidRPr="009956A9">
        <w:rPr>
          <w:color w:val="000000"/>
          <w:szCs w:val="22"/>
        </w:rPr>
        <w:t xml:space="preserve">CMI], [Financial institution] owes certain regulatory duties to </w:t>
      </w:r>
      <w:r>
        <w:rPr>
          <w:color w:val="000000"/>
          <w:szCs w:val="22"/>
        </w:rPr>
        <w:t>[</w:t>
      </w:r>
      <w:r w:rsidRPr="009956A9">
        <w:rPr>
          <w:color w:val="000000"/>
          <w:szCs w:val="22"/>
        </w:rPr>
        <w:t xml:space="preserve">the </w:t>
      </w:r>
      <w:r w:rsidR="003A1BEE">
        <w:rPr>
          <w:color w:val="000000"/>
          <w:szCs w:val="22"/>
        </w:rPr>
        <w:t>Hong Kong Stock Exchange</w:t>
      </w:r>
      <w:r w:rsidRPr="009956A9">
        <w:rPr>
          <w:color w:val="000000"/>
          <w:szCs w:val="22"/>
        </w:rPr>
        <w:t xml:space="preserve"> and] the Hong Kong Securities and Futures Commission (the “SFC”) (which regulatory duties are owed to no other party) and (ii) [OC/</w:t>
      </w:r>
      <w:r w:rsidR="0044522C">
        <w:rPr>
          <w:color w:val="000000"/>
          <w:szCs w:val="22"/>
        </w:rPr>
        <w:t>S</w:t>
      </w:r>
      <w:r w:rsidRPr="009956A9">
        <w:rPr>
          <w:color w:val="000000"/>
          <w:szCs w:val="22"/>
        </w:rPr>
        <w:t>CMI] can fulfill these duties only with the Company’s full assistance and cooperation.</w:t>
      </w:r>
      <w:r w:rsidR="00E713FE">
        <w:rPr>
          <w:color w:val="000000"/>
          <w:szCs w:val="22"/>
        </w:rPr>
        <w:t xml:space="preserve"> </w:t>
      </w:r>
      <w:r w:rsidR="00E713FE" w:rsidRPr="00F2223D">
        <w:rPr>
          <w:color w:val="000000"/>
          <w:szCs w:val="22"/>
        </w:rPr>
        <w:t>The Company agrees that it, and its directors, shall promptly on request provide us with all materials, information and other assistance which we reasonably request from time to time for the purposes of meeting our obligations and responsibilities under the Code</w:t>
      </w:r>
      <w:r w:rsidR="00E052E2" w:rsidRPr="00F2223D">
        <w:rPr>
          <w:color w:val="000000"/>
          <w:szCs w:val="22"/>
        </w:rPr>
        <w:t>[</w:t>
      </w:r>
      <w:r w:rsidR="00E713FE" w:rsidRPr="00F2223D">
        <w:rPr>
          <w:color w:val="000000"/>
          <w:szCs w:val="22"/>
        </w:rPr>
        <w:t xml:space="preserve"> and </w:t>
      </w:r>
      <w:r w:rsidR="00E713FE" w:rsidRPr="00F2223D">
        <w:rPr>
          <w:color w:val="000000"/>
          <w:szCs w:val="22"/>
        </w:rPr>
        <w:lastRenderedPageBreak/>
        <w:t>the Listing Rules</w:t>
      </w:r>
      <w:r w:rsidR="00E052E2" w:rsidRPr="00F2223D">
        <w:rPr>
          <w:color w:val="000000"/>
          <w:szCs w:val="22"/>
        </w:rPr>
        <w:t>]</w:t>
      </w:r>
      <w:r w:rsidR="00F700CE" w:rsidRPr="00F2223D">
        <w:rPr>
          <w:color w:val="000000"/>
          <w:szCs w:val="22"/>
        </w:rPr>
        <w:t>.</w:t>
      </w:r>
      <w:r w:rsidRPr="009956A9">
        <w:rPr>
          <w:color w:val="000000"/>
          <w:szCs w:val="22"/>
        </w:rPr>
        <w:t xml:space="preserve"> The Company acknowledges and agrees that </w:t>
      </w:r>
      <w:r w:rsidR="00BC77F6" w:rsidRPr="00F2223D">
        <w:rPr>
          <w:color w:val="000000"/>
          <w:szCs w:val="22"/>
        </w:rPr>
        <w:t xml:space="preserve">[OC/SCMI] may need to take actions which may not appear to be in the best interest of the Company in fulfilling </w:t>
      </w:r>
      <w:r w:rsidRPr="009956A9">
        <w:rPr>
          <w:color w:val="000000"/>
          <w:szCs w:val="22"/>
        </w:rPr>
        <w:t xml:space="preserve">these duties and </w:t>
      </w:r>
      <w:r w:rsidRPr="00E7788F">
        <w:rPr>
          <w:color w:val="000000"/>
          <w:szCs w:val="22"/>
        </w:rPr>
        <w:t xml:space="preserve">obligations. </w:t>
      </w:r>
      <w:r w:rsidR="00E713FE" w:rsidRPr="006D636C">
        <w:rPr>
          <w:color w:val="000000"/>
          <w:szCs w:val="22"/>
        </w:rPr>
        <w:t xml:space="preserve"> </w:t>
      </w:r>
    </w:p>
    <w:p w14:paraId="58A3680D" w14:textId="7439EAB3" w:rsidR="006B1737" w:rsidRPr="001A64F2" w:rsidRDefault="006B1737" w:rsidP="00C346F4">
      <w:pPr>
        <w:numPr>
          <w:ilvl w:val="1"/>
          <w:numId w:val="36"/>
        </w:numPr>
        <w:tabs>
          <w:tab w:val="left" w:pos="810"/>
        </w:tabs>
        <w:spacing w:after="120"/>
        <w:ind w:left="810" w:hanging="540"/>
        <w:jc w:val="both"/>
        <w:rPr>
          <w:szCs w:val="22"/>
        </w:rPr>
      </w:pPr>
      <w:r w:rsidRPr="006B1737">
        <w:rPr>
          <w:szCs w:val="22"/>
        </w:rPr>
        <w:t>[</w:t>
      </w:r>
      <w:r w:rsidRPr="007C331C">
        <w:rPr>
          <w:szCs w:val="22"/>
          <w:u w:val="single"/>
        </w:rPr>
        <w:t>For OC on in-scope equity transaction</w:t>
      </w:r>
      <w:r w:rsidRPr="006B1737">
        <w:rPr>
          <w:szCs w:val="22"/>
        </w:rPr>
        <w:t>]</w:t>
      </w:r>
      <w:r>
        <w:rPr>
          <w:szCs w:val="22"/>
        </w:rPr>
        <w:t xml:space="preserve"> </w:t>
      </w:r>
      <w:r w:rsidRPr="006B1737">
        <w:rPr>
          <w:szCs w:val="22"/>
        </w:rPr>
        <w:t>[The Company acknowledges and agrees that pursuant to paragraph 19 of Appendix 6 to the Listing Rules, we shall inform the Hong Kong Stock Exchange if, in our opinion, decisions made by the Company on allocation and pricing amount to non-compliance with the Listing Rules related to, among other things, the placing activities conducted by us or the Company.]</w:t>
      </w:r>
    </w:p>
    <w:p w14:paraId="1BC3257C" w14:textId="2427A98C" w:rsidR="003A1BEE" w:rsidRPr="00F2223D" w:rsidRDefault="003A1BEE" w:rsidP="00C346F4">
      <w:pPr>
        <w:numPr>
          <w:ilvl w:val="1"/>
          <w:numId w:val="36"/>
        </w:numPr>
        <w:tabs>
          <w:tab w:val="left" w:pos="810"/>
        </w:tabs>
        <w:spacing w:after="120"/>
        <w:ind w:left="810" w:hanging="540"/>
        <w:jc w:val="both"/>
        <w:rPr>
          <w:szCs w:val="22"/>
        </w:rPr>
      </w:pPr>
      <w:r>
        <w:rPr>
          <w:szCs w:val="22"/>
          <w:lang w:val="en-GB"/>
        </w:rPr>
        <w:t>[</w:t>
      </w:r>
      <w:r w:rsidRPr="00F2223D">
        <w:rPr>
          <w:szCs w:val="22"/>
          <w:u w:val="single"/>
          <w:lang w:val="en-GB"/>
        </w:rPr>
        <w:t xml:space="preserve">For OC on in-scope </w:t>
      </w:r>
      <w:r w:rsidR="009D66C6" w:rsidRPr="00F2223D">
        <w:rPr>
          <w:szCs w:val="22"/>
          <w:u w:val="single"/>
          <w:lang w:val="en-GB"/>
        </w:rPr>
        <w:t>equity</w:t>
      </w:r>
      <w:r w:rsidRPr="00F2223D">
        <w:rPr>
          <w:szCs w:val="22"/>
          <w:u w:val="single"/>
          <w:lang w:val="en-GB"/>
        </w:rPr>
        <w:t xml:space="preserve"> transaction</w:t>
      </w:r>
      <w:r>
        <w:rPr>
          <w:szCs w:val="22"/>
          <w:lang w:val="en-GB"/>
        </w:rPr>
        <w:t>]</w:t>
      </w:r>
      <w:r w:rsidR="000F6262">
        <w:rPr>
          <w:szCs w:val="22"/>
          <w:lang w:val="en-GB"/>
        </w:rPr>
        <w:t xml:space="preserve"> </w:t>
      </w:r>
      <w:r>
        <w:rPr>
          <w:szCs w:val="22"/>
          <w:lang w:val="en-GB"/>
        </w:rPr>
        <w:t>[The Company further acknowledges that as an OC, we may be required to notify the Hong Kong Stock Exchange in the event that our appointment hereunder is terminated.]</w:t>
      </w:r>
    </w:p>
    <w:p w14:paraId="0DCB8980" w14:textId="16D9BB49" w:rsidR="007A3CF5" w:rsidRPr="00AC114F" w:rsidRDefault="007A3CF5" w:rsidP="00CA1516">
      <w:pPr>
        <w:numPr>
          <w:ilvl w:val="1"/>
          <w:numId w:val="36"/>
        </w:numPr>
        <w:tabs>
          <w:tab w:val="left" w:pos="810"/>
        </w:tabs>
        <w:spacing w:after="120"/>
        <w:ind w:left="810" w:hanging="540"/>
        <w:jc w:val="both"/>
        <w:rPr>
          <w:szCs w:val="22"/>
        </w:rPr>
      </w:pPr>
      <w:r w:rsidRPr="007A3CF5">
        <w:rPr>
          <w:szCs w:val="22"/>
          <w:lang w:val="en-GB"/>
        </w:rPr>
        <w:t>Information about investors</w:t>
      </w:r>
      <w:r>
        <w:rPr>
          <w:szCs w:val="22"/>
          <w:lang w:val="en-GB"/>
        </w:rPr>
        <w:t xml:space="preserve"> underlying omnibus orders</w:t>
      </w:r>
      <w:r w:rsidRPr="007A3CF5">
        <w:rPr>
          <w:szCs w:val="22"/>
          <w:lang w:val="en-GB"/>
        </w:rPr>
        <w:t xml:space="preserve"> that may be shared with you </w:t>
      </w:r>
      <w:r>
        <w:rPr>
          <w:szCs w:val="22"/>
          <w:lang w:val="en-GB"/>
        </w:rPr>
        <w:t>pursuant to paragraph 21.3.5(b) of the Code may contain personally identifiable information which is</w:t>
      </w:r>
      <w:r w:rsidRPr="007A3CF5">
        <w:rPr>
          <w:szCs w:val="22"/>
          <w:lang w:val="en-GB"/>
        </w:rPr>
        <w:t xml:space="preserve"> </w:t>
      </w:r>
      <w:r w:rsidR="00F81095">
        <w:rPr>
          <w:szCs w:val="22"/>
          <w:lang w:val="en-GB"/>
        </w:rPr>
        <w:t xml:space="preserve">highly sensitive, </w:t>
      </w:r>
      <w:r w:rsidRPr="007A3CF5">
        <w:rPr>
          <w:szCs w:val="22"/>
          <w:lang w:val="en-GB"/>
        </w:rPr>
        <w:t>confidential in nature</w:t>
      </w:r>
      <w:r w:rsidR="00F81095">
        <w:rPr>
          <w:szCs w:val="22"/>
          <w:lang w:val="en-GB"/>
        </w:rPr>
        <w:t>,</w:t>
      </w:r>
      <w:r>
        <w:rPr>
          <w:szCs w:val="22"/>
          <w:lang w:val="en-GB"/>
        </w:rPr>
        <w:t xml:space="preserve"> and potentially subject to data privacy laws to which you may be subject</w:t>
      </w:r>
      <w:r w:rsidRPr="00F2223D">
        <w:rPr>
          <w:szCs w:val="22"/>
          <w:lang w:val="en-GB"/>
        </w:rPr>
        <w:t xml:space="preserve">. You hereby consent to receive this information and undertake to keep any such information confidential and to only use it for purposes of this </w:t>
      </w:r>
      <w:r w:rsidR="00786A26">
        <w:rPr>
          <w:szCs w:val="22"/>
          <w:lang w:val="en-GB"/>
        </w:rPr>
        <w:t>O</w:t>
      </w:r>
      <w:r w:rsidRPr="00F2223D">
        <w:rPr>
          <w:szCs w:val="22"/>
          <w:lang w:val="en-GB"/>
        </w:rPr>
        <w:t xml:space="preserve">ffering only. </w:t>
      </w:r>
    </w:p>
    <w:p w14:paraId="0B1F2F42" w14:textId="74739ACE" w:rsidR="00D615EA" w:rsidRPr="00F2223D" w:rsidRDefault="00D615EA" w:rsidP="00CA1516">
      <w:pPr>
        <w:numPr>
          <w:ilvl w:val="1"/>
          <w:numId w:val="36"/>
        </w:numPr>
        <w:tabs>
          <w:tab w:val="left" w:pos="810"/>
        </w:tabs>
        <w:spacing w:after="120"/>
        <w:ind w:left="810" w:hanging="540"/>
        <w:jc w:val="both"/>
        <w:rPr>
          <w:szCs w:val="22"/>
        </w:rPr>
      </w:pPr>
      <w:r>
        <w:rPr>
          <w:szCs w:val="22"/>
          <w:lang w:val="en-GB"/>
        </w:rPr>
        <w:t>[Indemnity clause]</w:t>
      </w:r>
      <w:r>
        <w:rPr>
          <w:rStyle w:val="FootnoteReference"/>
          <w:szCs w:val="22"/>
          <w:lang w:val="en-GB"/>
        </w:rPr>
        <w:footnoteReference w:id="16"/>
      </w:r>
    </w:p>
    <w:p w14:paraId="5CC0E246" w14:textId="6E3BB4C2" w:rsidR="00CA1516" w:rsidRDefault="00CA1516" w:rsidP="00CA1516">
      <w:pPr>
        <w:numPr>
          <w:ilvl w:val="1"/>
          <w:numId w:val="36"/>
        </w:numPr>
        <w:tabs>
          <w:tab w:val="left" w:pos="810"/>
        </w:tabs>
        <w:ind w:left="810" w:hanging="540"/>
        <w:jc w:val="both"/>
        <w:rPr>
          <w:szCs w:val="22"/>
        </w:rPr>
      </w:pPr>
      <w:r w:rsidRPr="003C0EB4">
        <w:rPr>
          <w:szCs w:val="22"/>
        </w:rPr>
        <w:t>[To the extent that the Company or any of its respective property or assets may be or become entitled to any right of immunity, on grounds of sovereignty or otherwise, from any legal action or proceeding, including arbitration proceedings, with respect to their obligations, liabilities or any other matter under, arising out of or related to this Agreement, the Company hereby irrevocably waives such right and agrees not to claim any such immunity.]</w:t>
      </w:r>
      <w:r w:rsidR="00FC2647">
        <w:rPr>
          <w:szCs w:val="22"/>
        </w:rPr>
        <w:t xml:space="preserve"> </w:t>
      </w:r>
    </w:p>
    <w:p w14:paraId="6EB56F18" w14:textId="77777777" w:rsidR="00CA1516" w:rsidRDefault="00CA1516" w:rsidP="00CA1516">
      <w:pPr>
        <w:pStyle w:val="ListParagraph"/>
        <w:tabs>
          <w:tab w:val="left" w:pos="810"/>
        </w:tabs>
        <w:ind w:left="810" w:hanging="540"/>
        <w:rPr>
          <w:szCs w:val="22"/>
        </w:rPr>
      </w:pPr>
    </w:p>
    <w:p w14:paraId="4173D97D" w14:textId="46F448D8" w:rsidR="00CA1516" w:rsidRDefault="00CA1516" w:rsidP="00135231">
      <w:pPr>
        <w:numPr>
          <w:ilvl w:val="1"/>
          <w:numId w:val="36"/>
        </w:numPr>
        <w:tabs>
          <w:tab w:val="left" w:pos="810"/>
        </w:tabs>
        <w:ind w:left="810" w:hanging="540"/>
        <w:jc w:val="both"/>
        <w:rPr>
          <w:szCs w:val="22"/>
        </w:rPr>
      </w:pPr>
      <w:r>
        <w:rPr>
          <w:sz w:val="20"/>
        </w:rPr>
        <w:t>[</w:t>
      </w:r>
      <w:r w:rsidRPr="00E647ED">
        <w:rPr>
          <w:szCs w:val="22"/>
        </w:rPr>
        <w:t xml:space="preserve">To the extent the Company also may engage another investment bank as another </w:t>
      </w:r>
      <w:r>
        <w:rPr>
          <w:szCs w:val="22"/>
        </w:rPr>
        <w:t xml:space="preserve">OC or </w:t>
      </w:r>
      <w:r w:rsidR="0044522C">
        <w:rPr>
          <w:szCs w:val="22"/>
        </w:rPr>
        <w:t>S</w:t>
      </w:r>
      <w:r>
        <w:rPr>
          <w:szCs w:val="22"/>
        </w:rPr>
        <w:t xml:space="preserve">CMI </w:t>
      </w:r>
      <w:r w:rsidRPr="00E647ED">
        <w:rPr>
          <w:szCs w:val="22"/>
        </w:rPr>
        <w:t xml:space="preserve">in connection with </w:t>
      </w:r>
      <w:r w:rsidR="00786A26">
        <w:rPr>
          <w:szCs w:val="22"/>
        </w:rPr>
        <w:t>the</w:t>
      </w:r>
      <w:r w:rsidRPr="00E647ED">
        <w:rPr>
          <w:szCs w:val="22"/>
        </w:rPr>
        <w:t xml:space="preserve"> </w:t>
      </w:r>
      <w:r>
        <w:rPr>
          <w:szCs w:val="22"/>
        </w:rPr>
        <w:t>Offering</w:t>
      </w:r>
      <w:r w:rsidRPr="00E647ED">
        <w:rPr>
          <w:szCs w:val="22"/>
        </w:rPr>
        <w:t xml:space="preserve"> pursuant to a separate agreement between the Company and any such other </w:t>
      </w:r>
      <w:r>
        <w:rPr>
          <w:szCs w:val="22"/>
        </w:rPr>
        <w:t>investment bank</w:t>
      </w:r>
      <w:r w:rsidR="00786A26">
        <w:rPr>
          <w:szCs w:val="22"/>
        </w:rPr>
        <w:t>,</w:t>
      </w:r>
      <w:r w:rsidRPr="00E647ED">
        <w:rPr>
          <w:szCs w:val="22"/>
        </w:rPr>
        <w:t xml:space="preserve"> </w:t>
      </w:r>
      <w:r w:rsidR="00786A26">
        <w:rPr>
          <w:szCs w:val="22"/>
        </w:rPr>
        <w:t>t</w:t>
      </w:r>
      <w:r>
        <w:rPr>
          <w:szCs w:val="22"/>
        </w:rPr>
        <w:t xml:space="preserve">he Company </w:t>
      </w:r>
      <w:r w:rsidRPr="00E647ED">
        <w:rPr>
          <w:szCs w:val="22"/>
        </w:rPr>
        <w:t>underst</w:t>
      </w:r>
      <w:r>
        <w:rPr>
          <w:szCs w:val="22"/>
        </w:rPr>
        <w:t>ands and</w:t>
      </w:r>
      <w:r w:rsidRPr="00E647ED">
        <w:rPr>
          <w:szCs w:val="22"/>
        </w:rPr>
        <w:t xml:space="preserve"> acknowledge</w:t>
      </w:r>
      <w:r>
        <w:rPr>
          <w:szCs w:val="22"/>
        </w:rPr>
        <w:t>s</w:t>
      </w:r>
      <w:r w:rsidRPr="00E647ED">
        <w:rPr>
          <w:szCs w:val="22"/>
        </w:rPr>
        <w:t xml:space="preserve"> that </w:t>
      </w:r>
      <w:r>
        <w:rPr>
          <w:szCs w:val="22"/>
        </w:rPr>
        <w:t>[financial institution name]</w:t>
      </w:r>
      <w:r w:rsidRPr="00E647ED">
        <w:rPr>
          <w:szCs w:val="22"/>
        </w:rPr>
        <w:t xml:space="preserve"> and any such other </w:t>
      </w:r>
      <w:r>
        <w:rPr>
          <w:szCs w:val="22"/>
        </w:rPr>
        <w:t xml:space="preserve">OC or </w:t>
      </w:r>
      <w:r w:rsidR="0044522C">
        <w:rPr>
          <w:szCs w:val="22"/>
        </w:rPr>
        <w:t>S</w:t>
      </w:r>
      <w:r>
        <w:rPr>
          <w:szCs w:val="22"/>
        </w:rPr>
        <w:t xml:space="preserve">CMI, as the case may be, </w:t>
      </w:r>
      <w:r w:rsidRPr="00E647ED">
        <w:rPr>
          <w:szCs w:val="22"/>
        </w:rPr>
        <w:t xml:space="preserve">are not and will not be deemed for any purpose to be acting as an agent, joint venturer or partner of the other, and that </w:t>
      </w:r>
      <w:r>
        <w:rPr>
          <w:szCs w:val="22"/>
        </w:rPr>
        <w:t xml:space="preserve">[financial institution name] </w:t>
      </w:r>
      <w:r w:rsidRPr="00E647ED">
        <w:rPr>
          <w:szCs w:val="22"/>
        </w:rPr>
        <w:t xml:space="preserve">assumes no responsibility, express or implied, for, and has no liability to the Company or its shareholders with respect to, any actions or omissions of, or the performance of services by, any such other </w:t>
      </w:r>
      <w:r>
        <w:rPr>
          <w:szCs w:val="22"/>
        </w:rPr>
        <w:t xml:space="preserve">OC or </w:t>
      </w:r>
      <w:r w:rsidR="0044522C">
        <w:rPr>
          <w:szCs w:val="22"/>
        </w:rPr>
        <w:t>S</w:t>
      </w:r>
      <w:r>
        <w:rPr>
          <w:szCs w:val="22"/>
        </w:rPr>
        <w:t xml:space="preserve">CMI, as the case may be, </w:t>
      </w:r>
      <w:r w:rsidRPr="00E647ED">
        <w:rPr>
          <w:szCs w:val="22"/>
        </w:rPr>
        <w:t xml:space="preserve">in connection with </w:t>
      </w:r>
      <w:r w:rsidR="00786A26">
        <w:rPr>
          <w:szCs w:val="22"/>
        </w:rPr>
        <w:t>the</w:t>
      </w:r>
      <w:r w:rsidR="00786A26" w:rsidRPr="00E647ED">
        <w:rPr>
          <w:szCs w:val="22"/>
        </w:rPr>
        <w:t xml:space="preserve"> </w:t>
      </w:r>
      <w:r>
        <w:rPr>
          <w:szCs w:val="22"/>
        </w:rPr>
        <w:t>Offering</w:t>
      </w:r>
      <w:r w:rsidRPr="00E647ED">
        <w:rPr>
          <w:szCs w:val="22"/>
        </w:rPr>
        <w:t xml:space="preserve"> or otherwise</w:t>
      </w:r>
      <w:r w:rsidR="00F1483B">
        <w:rPr>
          <w:szCs w:val="22"/>
        </w:rPr>
        <w:t>.]</w:t>
      </w:r>
      <w:r w:rsidR="00E713FE">
        <w:rPr>
          <w:szCs w:val="22"/>
        </w:rPr>
        <w:t xml:space="preserve"> </w:t>
      </w:r>
    </w:p>
    <w:p w14:paraId="146B6E4C" w14:textId="77777777" w:rsidR="000B55BF" w:rsidRDefault="000B55BF" w:rsidP="00FB7152">
      <w:pPr>
        <w:pStyle w:val="ListParagraph"/>
        <w:rPr>
          <w:szCs w:val="22"/>
        </w:rPr>
      </w:pPr>
    </w:p>
    <w:p w14:paraId="6C2139DF" w14:textId="58A3F86C" w:rsidR="00CA1516" w:rsidRPr="007C331C" w:rsidRDefault="000B55BF" w:rsidP="00E93313">
      <w:pPr>
        <w:numPr>
          <w:ilvl w:val="1"/>
          <w:numId w:val="36"/>
        </w:numPr>
        <w:ind w:left="720" w:hanging="450"/>
        <w:rPr>
          <w:b/>
          <w:bCs/>
          <w:szCs w:val="22"/>
        </w:rPr>
      </w:pPr>
      <w:r>
        <w:rPr>
          <w:szCs w:val="22"/>
        </w:rPr>
        <w:t>[</w:t>
      </w:r>
      <w:r w:rsidRPr="000B55BF">
        <w:rPr>
          <w:szCs w:val="22"/>
        </w:rPr>
        <w:t xml:space="preserve">Notwithstanding anything express or implied to the contrary, each party (and each employee, representative or other agent of such party) may disclose to any and all persons, without limitation of any kind, the tax treatment and tax structure of the transactions contemplated by this </w:t>
      </w:r>
      <w:r w:rsidR="00FD6A18">
        <w:rPr>
          <w:szCs w:val="22"/>
        </w:rPr>
        <w:t xml:space="preserve">appointment </w:t>
      </w:r>
      <w:r w:rsidRPr="000B55BF">
        <w:rPr>
          <w:szCs w:val="22"/>
        </w:rPr>
        <w:t>letter and all materials of any kind (including opinions or other tax analyses) that are provided to such party relating to such tax treatment and tax structure. ]</w:t>
      </w:r>
      <w:r w:rsidR="00E713FE">
        <w:rPr>
          <w:szCs w:val="22"/>
        </w:rPr>
        <w:t xml:space="preserve"> </w:t>
      </w:r>
    </w:p>
    <w:p w14:paraId="770ED64C" w14:textId="77777777" w:rsidR="0041753F" w:rsidRPr="007C331C" w:rsidRDefault="0041753F" w:rsidP="007C331C">
      <w:pPr>
        <w:pStyle w:val="ListParagraph"/>
        <w:rPr>
          <w:szCs w:val="22"/>
        </w:rPr>
      </w:pPr>
    </w:p>
    <w:p w14:paraId="257E3D9F" w14:textId="738A9178" w:rsidR="0041753F" w:rsidRPr="007C331C" w:rsidRDefault="00F3156B" w:rsidP="00E93313">
      <w:pPr>
        <w:numPr>
          <w:ilvl w:val="1"/>
          <w:numId w:val="36"/>
        </w:numPr>
        <w:ind w:left="720" w:hanging="450"/>
        <w:rPr>
          <w:szCs w:val="22"/>
        </w:rPr>
      </w:pPr>
      <w:r w:rsidRPr="006B1737">
        <w:rPr>
          <w:szCs w:val="22"/>
        </w:rPr>
        <w:t>[</w:t>
      </w:r>
      <w:r w:rsidRPr="006619A4">
        <w:rPr>
          <w:szCs w:val="22"/>
          <w:u w:val="single"/>
        </w:rPr>
        <w:t>For OC on in-scope equity</w:t>
      </w:r>
      <w:r>
        <w:rPr>
          <w:szCs w:val="22"/>
          <w:u w:val="single"/>
        </w:rPr>
        <w:t>-linked</w:t>
      </w:r>
      <w:r w:rsidRPr="006619A4">
        <w:rPr>
          <w:szCs w:val="22"/>
          <w:u w:val="single"/>
        </w:rPr>
        <w:t xml:space="preserve"> transaction</w:t>
      </w:r>
      <w:r>
        <w:rPr>
          <w:szCs w:val="22"/>
          <w:u w:val="single"/>
        </w:rPr>
        <w:t>s</w:t>
      </w:r>
      <w:r w:rsidRPr="006B1737">
        <w:rPr>
          <w:szCs w:val="22"/>
        </w:rPr>
        <w:t>]</w:t>
      </w:r>
      <w:r w:rsidRPr="00F3156B">
        <w:rPr>
          <w:szCs w:val="22"/>
        </w:rPr>
        <w:t xml:space="preserve"> </w:t>
      </w:r>
      <w:r w:rsidR="0041753F" w:rsidRPr="007C331C">
        <w:rPr>
          <w:szCs w:val="22"/>
        </w:rPr>
        <w:t xml:space="preserve">[The parties hereto acknowledge and agree </w:t>
      </w:r>
      <w:r w:rsidR="0041753F" w:rsidRPr="007C331C">
        <w:rPr>
          <w:szCs w:val="22"/>
        </w:rPr>
        <w:lastRenderedPageBreak/>
        <w:t xml:space="preserve">that </w:t>
      </w:r>
      <w:r>
        <w:rPr>
          <w:szCs w:val="22"/>
        </w:rPr>
        <w:t>we are</w:t>
      </w:r>
      <w:r w:rsidR="0041753F" w:rsidRPr="007C331C">
        <w:rPr>
          <w:szCs w:val="22"/>
        </w:rPr>
        <w:t xml:space="preserve"> appointed as an OC on the basis that all members of the syndicate in respect of the Offering are in-scope syndicate members under paragraph 21 of the Code, and that in the event any syndicate members in respect of the Offering are not in-scope syndicate members under </w:t>
      </w:r>
      <w:r w:rsidR="008E0036">
        <w:rPr>
          <w:szCs w:val="22"/>
        </w:rPr>
        <w:t>p</w:t>
      </w:r>
      <w:r w:rsidR="0041753F" w:rsidRPr="007C331C">
        <w:rPr>
          <w:szCs w:val="22"/>
        </w:rPr>
        <w:t xml:space="preserve">aragraph 21 of the Code, </w:t>
      </w:r>
      <w:r>
        <w:rPr>
          <w:szCs w:val="22"/>
        </w:rPr>
        <w:t>our</w:t>
      </w:r>
      <w:r w:rsidR="0041753F" w:rsidRPr="007C331C">
        <w:rPr>
          <w:szCs w:val="22"/>
        </w:rPr>
        <w:t xml:space="preserve"> role under </w:t>
      </w:r>
      <w:r>
        <w:rPr>
          <w:szCs w:val="22"/>
        </w:rPr>
        <w:t xml:space="preserve">the Code </w:t>
      </w:r>
      <w:r w:rsidR="0041753F" w:rsidRPr="007C331C">
        <w:rPr>
          <w:szCs w:val="22"/>
        </w:rPr>
        <w:t>shall be as SCMI</w:t>
      </w:r>
      <w:r>
        <w:rPr>
          <w:szCs w:val="22"/>
        </w:rPr>
        <w:t xml:space="preserve"> o</w:t>
      </w:r>
      <w:r w:rsidR="0041753F" w:rsidRPr="007C331C">
        <w:rPr>
          <w:szCs w:val="22"/>
        </w:rPr>
        <w:t>nly</w:t>
      </w:r>
      <w:r>
        <w:rPr>
          <w:szCs w:val="22"/>
        </w:rPr>
        <w:t xml:space="preserve"> and not </w:t>
      </w:r>
      <w:r w:rsidR="008E0036">
        <w:rPr>
          <w:szCs w:val="22"/>
        </w:rPr>
        <w:t xml:space="preserve">as </w:t>
      </w:r>
      <w:r>
        <w:rPr>
          <w:szCs w:val="22"/>
        </w:rPr>
        <w:t>OC</w:t>
      </w:r>
      <w:r w:rsidR="0041753F" w:rsidRPr="007C331C">
        <w:rPr>
          <w:szCs w:val="22"/>
        </w:rPr>
        <w:t>.]</w:t>
      </w:r>
    </w:p>
    <w:p w14:paraId="6BA60FCB" w14:textId="77777777" w:rsidR="006168B9" w:rsidRPr="007C331C" w:rsidRDefault="006168B9" w:rsidP="00FA1607">
      <w:pPr>
        <w:pStyle w:val="ListParagraph"/>
        <w:rPr>
          <w:szCs w:val="22"/>
        </w:rPr>
      </w:pPr>
    </w:p>
    <w:p w14:paraId="5CB8D834" w14:textId="1E61D6CD" w:rsidR="006168B9" w:rsidRPr="00F3156B" w:rsidRDefault="006168B9" w:rsidP="006168B9">
      <w:pPr>
        <w:numPr>
          <w:ilvl w:val="1"/>
          <w:numId w:val="36"/>
        </w:numPr>
        <w:ind w:left="720" w:hanging="450"/>
      </w:pPr>
      <w:r w:rsidRPr="007C331C">
        <w:t>[</w:t>
      </w:r>
      <w:bookmarkStart w:id="2" w:name="_Hlk107481929"/>
      <w:r w:rsidRPr="0041753F">
        <w:t>Additional acknowledgments</w:t>
      </w:r>
      <w:r w:rsidRPr="00F3156B">
        <w:t xml:space="preserve"> </w:t>
      </w:r>
      <w:r w:rsidR="004A67ED" w:rsidRPr="00F3156B">
        <w:t xml:space="preserve">and clauses </w:t>
      </w:r>
      <w:r w:rsidRPr="00F3156B">
        <w:t>may be considered based on circumstances</w:t>
      </w:r>
      <w:bookmarkEnd w:id="2"/>
      <w:r w:rsidR="004A67ED" w:rsidRPr="00F3156B">
        <w:t>.</w:t>
      </w:r>
      <w:r w:rsidRPr="00F3156B">
        <w:t>]</w:t>
      </w:r>
    </w:p>
    <w:p w14:paraId="5DA70635" w14:textId="77777777" w:rsidR="006168B9" w:rsidRPr="007C331C" w:rsidRDefault="006168B9" w:rsidP="009F0232">
      <w:pPr>
        <w:ind w:left="720"/>
        <w:rPr>
          <w:szCs w:val="22"/>
        </w:rPr>
      </w:pPr>
    </w:p>
    <w:p w14:paraId="522FB90A" w14:textId="77777777" w:rsidR="00CA1516" w:rsidRDefault="00CA1516" w:rsidP="00CA1516">
      <w:pPr>
        <w:jc w:val="both"/>
      </w:pPr>
    </w:p>
    <w:p w14:paraId="0BDA8ACE" w14:textId="77777777" w:rsidR="00CA1516" w:rsidRDefault="00CA1516" w:rsidP="00135231">
      <w:pPr>
        <w:numPr>
          <w:ilvl w:val="0"/>
          <w:numId w:val="34"/>
        </w:numPr>
        <w:ind w:left="270" w:hanging="270"/>
        <w:jc w:val="both"/>
      </w:pPr>
      <w:r>
        <w:rPr>
          <w:b/>
        </w:rPr>
        <w:t>Governing Law</w:t>
      </w:r>
    </w:p>
    <w:p w14:paraId="5A0BAFF7" w14:textId="77777777" w:rsidR="00CA1516" w:rsidRDefault="00CA1516" w:rsidP="00CA1516">
      <w:pPr>
        <w:jc w:val="both"/>
      </w:pPr>
    </w:p>
    <w:p w14:paraId="0D6A7A3D" w14:textId="5F33E594" w:rsidR="00CA1516" w:rsidRDefault="00CA1516" w:rsidP="00CA1516">
      <w:pPr>
        <w:tabs>
          <w:tab w:val="left" w:pos="1080"/>
        </w:tabs>
        <w:jc w:val="both"/>
      </w:pPr>
      <w:r>
        <w:t xml:space="preserve">This </w:t>
      </w:r>
      <w:r w:rsidR="00786A26">
        <w:t>appointment letter, and any non-contractual obligations arising out of or in connection with it, shall be</w:t>
      </w:r>
      <w:r>
        <w:t xml:space="preserve"> governed by Hong Kong law without giving effect to principles of conflicts of laws and will be binding upon and inure to the benefit of the Company and [OC/</w:t>
      </w:r>
      <w:r w:rsidR="0044522C">
        <w:t>S</w:t>
      </w:r>
      <w:r>
        <w:t>CMI ENTITY] and their respective successors and assigns.  The Company hereby agrees that Hong Kong courts are to have non-exclusive jurisdiction to settle any disputes, which may arise in connection with this</w:t>
      </w:r>
      <w:r w:rsidR="00FD6A18">
        <w:t xml:space="preserve"> appointment</w:t>
      </w:r>
      <w:r>
        <w:t xml:space="preserve"> letter. </w:t>
      </w:r>
      <w:r>
        <w:rPr>
          <w:color w:val="000000"/>
        </w:rPr>
        <w:t xml:space="preserve">Solely for purposes of enforcing this agreement, the Company hereby consents to personal jurisdiction, service of process and venue in any court in </w:t>
      </w:r>
      <w:r>
        <w:t>which any claim or proceeding that is subject to this agreement is brought against [OC/</w:t>
      </w:r>
      <w:r w:rsidR="0044522C">
        <w:t>S</w:t>
      </w:r>
      <w:r>
        <w:t>CMI ENTITY]. [ARBITRATION</w:t>
      </w:r>
      <w:r w:rsidR="00AC114F">
        <w:t xml:space="preserve"> MAY ALSO BE CONSIDERED</w:t>
      </w:r>
      <w:r>
        <w:t>]</w:t>
      </w:r>
    </w:p>
    <w:p w14:paraId="48E03207" w14:textId="77777777" w:rsidR="00CA1516" w:rsidRDefault="00CA1516" w:rsidP="00CA1516">
      <w:pPr>
        <w:tabs>
          <w:tab w:val="left" w:pos="1080"/>
        </w:tabs>
        <w:jc w:val="both"/>
      </w:pPr>
      <w:r>
        <w:t xml:space="preserve"> </w:t>
      </w:r>
    </w:p>
    <w:p w14:paraId="5BEC1567" w14:textId="77777777" w:rsidR="00CA1516" w:rsidRPr="002D7910" w:rsidRDefault="00CA1516" w:rsidP="00CA1516">
      <w:pPr>
        <w:pStyle w:val="BodyText3"/>
        <w:jc w:val="both"/>
        <w:rPr>
          <w:sz w:val="22"/>
          <w:szCs w:val="20"/>
        </w:rPr>
      </w:pPr>
      <w:r w:rsidRPr="002D7910">
        <w:rPr>
          <w:sz w:val="22"/>
          <w:szCs w:val="20"/>
        </w:rPr>
        <w:t>A person who is not a party to this agreement shall have no right under the Contracts (Rights of Third Parties) Ordinance (Chapter 623 of the Laws of Hong Kong) to enforce or to enjoy the benefit of any term of this agreement.</w:t>
      </w:r>
      <w:r>
        <w:t>]</w:t>
      </w:r>
    </w:p>
    <w:p w14:paraId="25A36B25" w14:textId="77777777" w:rsidR="00786A26" w:rsidRPr="003C0880" w:rsidRDefault="00786A26" w:rsidP="00786A26">
      <w:pPr>
        <w:numPr>
          <w:ilvl w:val="0"/>
          <w:numId w:val="34"/>
        </w:numPr>
        <w:ind w:left="270" w:hanging="270"/>
        <w:jc w:val="both"/>
      </w:pPr>
      <w:r>
        <w:rPr>
          <w:b/>
        </w:rPr>
        <w:t xml:space="preserve">[Successors </w:t>
      </w:r>
    </w:p>
    <w:p w14:paraId="09522890" w14:textId="23A4B687" w:rsidR="00786A26" w:rsidRDefault="00786A26" w:rsidP="00786A26">
      <w:pPr>
        <w:jc w:val="both"/>
      </w:pPr>
      <w:r w:rsidRPr="003C0880">
        <w:t>Th</w:t>
      </w:r>
      <w:r>
        <w:t>e terms of this</w:t>
      </w:r>
      <w:r w:rsidRPr="003C0880">
        <w:t xml:space="preserve"> </w:t>
      </w:r>
      <w:r>
        <w:t>appointment letter</w:t>
      </w:r>
      <w:r w:rsidRPr="003C0880">
        <w:t xml:space="preserve"> shall be binding on, and </w:t>
      </w:r>
      <w:r>
        <w:t>i</w:t>
      </w:r>
      <w:r w:rsidRPr="003C0880">
        <w:t>nure for the benefit of, each party and its successors, but no party may assign any of its rights or obligations hereunder without the written consent of each other party.</w:t>
      </w:r>
      <w:r>
        <w:t>]</w:t>
      </w:r>
    </w:p>
    <w:p w14:paraId="2FEABFAE" w14:textId="77777777" w:rsidR="00786A26" w:rsidRPr="003C0880" w:rsidRDefault="00786A26" w:rsidP="00786A26">
      <w:pPr>
        <w:jc w:val="both"/>
      </w:pPr>
    </w:p>
    <w:p w14:paraId="5BC845DC" w14:textId="77777777" w:rsidR="00786A26" w:rsidRDefault="00786A26" w:rsidP="00786A26">
      <w:pPr>
        <w:numPr>
          <w:ilvl w:val="0"/>
          <w:numId w:val="34"/>
        </w:numPr>
        <w:ind w:left="270" w:hanging="270"/>
        <w:jc w:val="both"/>
      </w:pPr>
      <w:r>
        <w:rPr>
          <w:b/>
        </w:rPr>
        <w:t xml:space="preserve">[Counterparts </w:t>
      </w:r>
    </w:p>
    <w:p w14:paraId="49D17A7E" w14:textId="71915D2C" w:rsidR="00CA1516" w:rsidRPr="006547A3" w:rsidRDefault="00786A26" w:rsidP="009C1427">
      <w:pPr>
        <w:rPr>
          <w:u w:val="single"/>
        </w:rPr>
      </w:pPr>
      <w:r w:rsidRPr="00A30940">
        <w:t xml:space="preserve">This </w:t>
      </w:r>
      <w:r>
        <w:t>appointment letter</w:t>
      </w:r>
      <w:r w:rsidRPr="00A30940">
        <w:t xml:space="preserve"> may be executed in any number of counterparts, each of which shall be deemed an original.</w:t>
      </w:r>
      <w:r>
        <w:t>]</w:t>
      </w:r>
    </w:p>
    <w:sectPr w:rsidR="00CA1516" w:rsidRPr="006547A3">
      <w:headerReference w:type="default" r:id="rId8"/>
      <w:footerReference w:type="first" r:id="rId9"/>
      <w:pgSz w:w="12240" w:h="15840" w:code="1"/>
      <w:pgMar w:top="1728" w:right="1440" w:bottom="1728" w:left="1872" w:header="1440"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388CC" w14:textId="77777777" w:rsidR="00976C32" w:rsidRDefault="00976C32">
      <w:r>
        <w:separator/>
      </w:r>
    </w:p>
  </w:endnote>
  <w:endnote w:type="continuationSeparator" w:id="0">
    <w:p w14:paraId="3E1D085D" w14:textId="77777777" w:rsidR="00976C32" w:rsidRDefault="00976C32">
      <w:r>
        <w:continuationSeparator/>
      </w:r>
    </w:p>
  </w:endnote>
  <w:endnote w:type="continuationNotice" w:id="1">
    <w:p w14:paraId="1B492334" w14:textId="77777777" w:rsidR="00976C32" w:rsidRDefault="00976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Black">
    <w:altName w:val="Arial"/>
    <w:charset w:val="00"/>
    <w:family w:val="swiss"/>
    <w:pitch w:val="variable"/>
    <w:sig w:usb0="20007A87" w:usb1="80000000" w:usb2="00000008"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abon">
    <w:altName w:val="Times New Roman"/>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5E384" w14:textId="64A02AB4" w:rsidR="00CD1489" w:rsidRPr="00F77E82" w:rsidRDefault="008B7E93">
    <w:pPr>
      <w:pStyle w:val="Footer"/>
      <w:rPr>
        <w:color w:val="000000" w:themeColor="text1"/>
      </w:rPr>
    </w:pPr>
    <w:r w:rsidRPr="00F77E82">
      <w:rPr>
        <w:color w:val="000000" w:themeColor="text1"/>
      </w:rPr>
      <w:t xml:space="preserve">Version of </w:t>
    </w:r>
    <w:r w:rsidR="007C331C">
      <w:rPr>
        <w:color w:val="000000" w:themeColor="text1"/>
      </w:rPr>
      <w:t>21 March</w:t>
    </w:r>
    <w:r w:rsidR="005C4A88">
      <w:rPr>
        <w:color w:val="000000" w:themeColor="text1"/>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06752" w14:textId="77777777" w:rsidR="00976C32" w:rsidRDefault="00976C32">
      <w:r>
        <w:separator/>
      </w:r>
    </w:p>
  </w:footnote>
  <w:footnote w:type="continuationSeparator" w:id="0">
    <w:p w14:paraId="7A264816" w14:textId="77777777" w:rsidR="00976C32" w:rsidRDefault="00976C32">
      <w:r>
        <w:continuationSeparator/>
      </w:r>
    </w:p>
  </w:footnote>
  <w:footnote w:type="continuationNotice" w:id="1">
    <w:p w14:paraId="3DDA9B5C" w14:textId="77777777" w:rsidR="00976C32" w:rsidRDefault="00976C32"/>
  </w:footnote>
  <w:footnote w:id="2">
    <w:p w14:paraId="2B760AE8" w14:textId="0E9E9A23" w:rsidR="00BA2779" w:rsidRDefault="00BA2779">
      <w:pPr>
        <w:pStyle w:val="FootnoteText"/>
      </w:pPr>
      <w:r>
        <w:rPr>
          <w:rStyle w:val="FootnoteReference"/>
        </w:rPr>
        <w:footnoteRef/>
      </w:r>
      <w:r>
        <w:t xml:space="preserve"> If a written agreement or email acknowledgements are not possible (e.g., an issuer refused) consider sending the email as a one-way </w:t>
      </w:r>
      <w:r w:rsidR="0031138D">
        <w:t xml:space="preserve">deemed acceptance by </w:t>
      </w:r>
      <w:r>
        <w:t>the issuer</w:t>
      </w:r>
      <w:r w:rsidR="0031138D">
        <w:t xml:space="preserve"> unless they respond otherwise</w:t>
      </w:r>
      <w:r>
        <w:t xml:space="preserve">. </w:t>
      </w:r>
    </w:p>
  </w:footnote>
  <w:footnote w:id="3">
    <w:p w14:paraId="27B355AC" w14:textId="2ED5AE93" w:rsidR="003F5804" w:rsidRDefault="003F5804">
      <w:pPr>
        <w:pStyle w:val="FootnoteText"/>
      </w:pPr>
      <w:r>
        <w:rPr>
          <w:rStyle w:val="FootnoteReference"/>
        </w:rPr>
        <w:footnoteRef/>
      </w:r>
      <w:r>
        <w:t xml:space="preserve"> The </w:t>
      </w:r>
      <w:r w:rsidR="00F32FC4">
        <w:t xml:space="preserve">addressee/counter party to the agreement should include the </w:t>
      </w:r>
      <w:r>
        <w:t xml:space="preserve">substantive client </w:t>
      </w:r>
      <w:r w:rsidR="00F32FC4">
        <w:t>who is receiving the benefit of the service</w:t>
      </w:r>
      <w:r>
        <w:t xml:space="preserve">.  For example, in the case </w:t>
      </w:r>
      <w:r w:rsidR="00F32FC4">
        <w:t xml:space="preserve">where the </w:t>
      </w:r>
      <w:r>
        <w:t>issuer is a SPV, consider adding</w:t>
      </w:r>
      <w:r w:rsidR="00F32FC4">
        <w:t>, as the case may be,</w:t>
      </w:r>
      <w:r w:rsidR="007C331C">
        <w:t xml:space="preserve"> </w:t>
      </w:r>
      <w:r>
        <w:t xml:space="preserve">the guarantor, keepwell provider, or </w:t>
      </w:r>
      <w:r w:rsidR="00F32FC4">
        <w:t xml:space="preserve">corporate </w:t>
      </w:r>
      <w:r>
        <w:t xml:space="preserve">client to the agreement.  </w:t>
      </w:r>
    </w:p>
  </w:footnote>
  <w:footnote w:id="4">
    <w:p w14:paraId="6A8D2D89" w14:textId="77777777" w:rsidR="008834EE" w:rsidRDefault="008834EE">
      <w:pPr>
        <w:pStyle w:val="FootnoteText"/>
      </w:pPr>
      <w:r>
        <w:rPr>
          <w:rStyle w:val="FootnoteReference"/>
        </w:rPr>
        <w:footnoteRef/>
      </w:r>
      <w:r>
        <w:t xml:space="preserve"> To be included if also acting as OC in addition to SCMI</w:t>
      </w:r>
    </w:p>
  </w:footnote>
  <w:footnote w:id="5">
    <w:p w14:paraId="243B8C98" w14:textId="64178747" w:rsidR="00BE2616" w:rsidRDefault="00BE2616">
      <w:pPr>
        <w:pStyle w:val="FootnoteText"/>
      </w:pPr>
      <w:r>
        <w:rPr>
          <w:rStyle w:val="FootnoteReference"/>
        </w:rPr>
        <w:footnoteRef/>
      </w:r>
      <w:r>
        <w:t xml:space="preserve"> To be included if there will be a discretionary fee payable.</w:t>
      </w:r>
    </w:p>
  </w:footnote>
  <w:footnote w:id="6">
    <w:p w14:paraId="3156C3C0" w14:textId="4A7B59C7" w:rsidR="00FA1607" w:rsidRDefault="00FA1607">
      <w:pPr>
        <w:pStyle w:val="FootnoteText"/>
      </w:pPr>
      <w:r>
        <w:rPr>
          <w:rStyle w:val="FootnoteReference"/>
        </w:rPr>
        <w:footnoteRef/>
      </w:r>
      <w:r>
        <w:t xml:space="preserve"> Fees paid to other CMIs may be added as relevant.</w:t>
      </w:r>
    </w:p>
  </w:footnote>
  <w:footnote w:id="7">
    <w:p w14:paraId="6798F0F1" w14:textId="0C50C3C7" w:rsidR="00BE2616" w:rsidRDefault="00BE2616">
      <w:pPr>
        <w:pStyle w:val="FootnoteText"/>
      </w:pPr>
      <w:r>
        <w:rPr>
          <w:rStyle w:val="FootnoteReference"/>
        </w:rPr>
        <w:footnoteRef/>
      </w:r>
      <w:r>
        <w:t xml:space="preserve"> To be included if there will be a discretionary fee payable.</w:t>
      </w:r>
    </w:p>
  </w:footnote>
  <w:footnote w:id="8">
    <w:p w14:paraId="77F73AD2" w14:textId="5A97C954" w:rsidR="0091587C" w:rsidRDefault="0091587C">
      <w:pPr>
        <w:pStyle w:val="FootnoteText"/>
      </w:pPr>
      <w:r>
        <w:rPr>
          <w:rStyle w:val="FootnoteReference"/>
        </w:rPr>
        <w:footnoteRef/>
      </w:r>
      <w:r>
        <w:t xml:space="preserve"> Pursuant to FAQ13, </w:t>
      </w:r>
      <w:r w:rsidR="003A5C49">
        <w:t>i</w:t>
      </w:r>
      <w:r w:rsidRPr="0091587C">
        <w:t>f an issuer client refuses to formally appoint Hong Kong non-OC syndicate CMIs</w:t>
      </w:r>
      <w:r w:rsidR="004B69F5">
        <w:t xml:space="preserve"> </w:t>
      </w:r>
      <w:r w:rsidR="00AC114F" w:rsidRPr="0091587C">
        <w:t>under a written agreement</w:t>
      </w:r>
      <w:r w:rsidR="00AC114F">
        <w:t xml:space="preserve"> that fully satisfies paragraph 21.3.2 </w:t>
      </w:r>
      <w:r w:rsidR="004B69F5">
        <w:t>(e.g., in a mixed-syndicate situation per FAQ12)</w:t>
      </w:r>
      <w:r w:rsidRPr="0091587C">
        <w:t xml:space="preserve"> </w:t>
      </w:r>
      <w:r w:rsidR="00956DFF">
        <w:t>and those CMIs have informed the issuer of their obligations under the Code</w:t>
      </w:r>
      <w:r w:rsidRPr="0091587C">
        <w:t xml:space="preserve">, proper documentation should be maintained to demonstrate that </w:t>
      </w:r>
      <w:r w:rsidR="00956DFF">
        <w:t>“</w:t>
      </w:r>
      <w:r w:rsidRPr="0091587C">
        <w:t>reasonable steps</w:t>
      </w:r>
      <w:r w:rsidR="00956DFF">
        <w:t>”</w:t>
      </w:r>
      <w:r w:rsidRPr="0091587C">
        <w:t xml:space="preserve"> have been taken</w:t>
      </w:r>
      <w:r w:rsidR="004B69F5">
        <w:t xml:space="preserve"> to seek appointment under a written agreement</w:t>
      </w:r>
      <w:r w:rsidRPr="0091587C">
        <w:t>.</w:t>
      </w:r>
      <w:r w:rsidR="004B69F5">
        <w:t xml:space="preserve"> Option 2 here presents several options that may be presented </w:t>
      </w:r>
      <w:r w:rsidR="00AC114F">
        <w:t xml:space="preserve">in an effort </w:t>
      </w:r>
      <w:r w:rsidR="004B69F5">
        <w:t xml:space="preserve">to </w:t>
      </w:r>
      <w:r w:rsidR="00AC114F">
        <w:t xml:space="preserve">demonstrate </w:t>
      </w:r>
      <w:r w:rsidR="004B69F5">
        <w:t xml:space="preserve">reasonable steps </w:t>
      </w:r>
      <w:r w:rsidR="00AC114F">
        <w:t xml:space="preserve">taken </w:t>
      </w:r>
      <w:r w:rsidR="004B69F5">
        <w:t>to document fee arrangements</w:t>
      </w:r>
      <w:r w:rsidR="00956DFF">
        <w:t xml:space="preserve"> where an issuer client refuses to enter into a written agreement fully satisfying fee arrangement requirements under paragraph 21.3.2</w:t>
      </w:r>
      <w:r w:rsidR="004B69F5">
        <w:t>.</w:t>
      </w:r>
    </w:p>
  </w:footnote>
  <w:footnote w:id="9">
    <w:p w14:paraId="5EE42D9E" w14:textId="77777777" w:rsidR="0091587C" w:rsidRDefault="0091587C" w:rsidP="0091587C">
      <w:pPr>
        <w:pStyle w:val="FootnoteText"/>
      </w:pPr>
      <w:r>
        <w:rPr>
          <w:rStyle w:val="FootnoteReference"/>
        </w:rPr>
        <w:footnoteRef/>
      </w:r>
      <w:r>
        <w:t xml:space="preserve"> To be included if there will be a discretionary fee payable.</w:t>
      </w:r>
    </w:p>
  </w:footnote>
  <w:footnote w:id="10">
    <w:p w14:paraId="5824F400" w14:textId="0BC46468" w:rsidR="00B87A9C" w:rsidRDefault="00B87A9C" w:rsidP="00B87A9C">
      <w:pPr>
        <w:pStyle w:val="FootnoteText"/>
      </w:pPr>
      <w:r>
        <w:rPr>
          <w:rStyle w:val="FootnoteReference"/>
        </w:rPr>
        <w:footnoteRef/>
      </w:r>
      <w:r>
        <w:t xml:space="preserve"> Where an issuer won’t agree to fix fee allocations for specific banks </w:t>
      </w:r>
      <w:r w:rsidRPr="0069542A">
        <w:rPr>
          <w:u w:val="single"/>
        </w:rPr>
        <w:t>in a mixed-syndicate situation only</w:t>
      </w:r>
      <w:r>
        <w:t>, allocation at a “syndicate title” level (e.g. OC v SCMI or JGC v JLM) or deferring to an agreement to be execute</w:t>
      </w:r>
      <w:r w:rsidR="00C67613">
        <w:t>d</w:t>
      </w:r>
      <w:r>
        <w:t xml:space="preserve"> later (e.g., a subscription agreement) might be considered. </w:t>
      </w:r>
    </w:p>
  </w:footnote>
  <w:footnote w:id="11">
    <w:p w14:paraId="72B6F9A3" w14:textId="77777777" w:rsidR="0091587C" w:rsidRDefault="0091587C" w:rsidP="0091587C">
      <w:pPr>
        <w:pStyle w:val="FootnoteText"/>
      </w:pPr>
      <w:r>
        <w:rPr>
          <w:rStyle w:val="FootnoteReference"/>
        </w:rPr>
        <w:footnoteRef/>
      </w:r>
      <w:r>
        <w:t xml:space="preserve"> To be included if there will be a discretionary fee payable.</w:t>
      </w:r>
    </w:p>
  </w:footnote>
  <w:footnote w:id="12">
    <w:p w14:paraId="056C830A" w14:textId="77777777" w:rsidR="009F387C" w:rsidRDefault="009F387C" w:rsidP="009F387C">
      <w:pPr>
        <w:pStyle w:val="FootnoteText"/>
      </w:pPr>
      <w:r>
        <w:rPr>
          <w:rStyle w:val="FootnoteReference"/>
        </w:rPr>
        <w:footnoteRef/>
      </w:r>
      <w:r>
        <w:t xml:space="preserve"> The Code requires </w:t>
      </w:r>
      <w:r w:rsidRPr="001D597A">
        <w:t xml:space="preserve">OCs to provide guidance to the issuer on market practices for the fee split ratio, which </w:t>
      </w:r>
      <w:r>
        <w:t xml:space="preserve">the SFC </w:t>
      </w:r>
      <w:r w:rsidRPr="001D597A">
        <w:t>i</w:t>
      </w:r>
      <w:r>
        <w:t>ndicated</w:t>
      </w:r>
      <w:r w:rsidRPr="001D597A">
        <w:t xml:space="preserve"> </w:t>
      </w:r>
      <w:r>
        <w:t>they believed was</w:t>
      </w:r>
      <w:r w:rsidRPr="001D597A">
        <w:t xml:space="preserve"> </w:t>
      </w:r>
      <w:r>
        <w:t>“</w:t>
      </w:r>
      <w:r w:rsidRPr="001D597A">
        <w:t>around 75% fixed and 25% discretionary (75:25 ratio).</w:t>
      </w:r>
      <w:r>
        <w:t>”</w:t>
      </w:r>
      <w:r w:rsidRPr="001D597A">
        <w:t xml:space="preserve"> </w:t>
      </w:r>
      <w:r>
        <w:t>The SFC took the</w:t>
      </w:r>
      <w:r w:rsidRPr="001D597A">
        <w:t xml:space="preserve"> view that issuers should assess whether they should deviate significantly from </w:t>
      </w:r>
      <w:r>
        <w:t>a ratio of</w:t>
      </w:r>
      <w:r w:rsidRPr="001D597A">
        <w:t xml:space="preserve"> 75:25.</w:t>
      </w:r>
    </w:p>
  </w:footnote>
  <w:footnote w:id="13">
    <w:p w14:paraId="2A07668B" w14:textId="46B2338D" w:rsidR="001D597A" w:rsidRDefault="001D597A">
      <w:pPr>
        <w:pStyle w:val="FootnoteText"/>
      </w:pPr>
      <w:r>
        <w:rPr>
          <w:rStyle w:val="FootnoteReference"/>
        </w:rPr>
        <w:footnoteRef/>
      </w:r>
      <w:r>
        <w:t xml:space="preserve"> To be expanded to cover individual fixed fee allocations where more than one OC is being appointed. </w:t>
      </w:r>
    </w:p>
  </w:footnote>
  <w:footnote w:id="14">
    <w:p w14:paraId="3E449247" w14:textId="2A7A42C0" w:rsidR="006168B9" w:rsidRDefault="006168B9">
      <w:pPr>
        <w:pStyle w:val="FootnoteText"/>
      </w:pPr>
      <w:r>
        <w:rPr>
          <w:rStyle w:val="FootnoteReference"/>
        </w:rPr>
        <w:footnoteRef/>
      </w:r>
      <w:r>
        <w:t xml:space="preserve"> </w:t>
      </w:r>
      <w:bookmarkStart w:id="1" w:name="_Hlk107481907"/>
      <w:r>
        <w:t>Tax language may be amended as needed to reflect circumstances</w:t>
      </w:r>
      <w:bookmarkEnd w:id="1"/>
      <w:r w:rsidR="004A67ED">
        <w:t>.</w:t>
      </w:r>
    </w:p>
  </w:footnote>
  <w:footnote w:id="15">
    <w:p w14:paraId="0C562DC9" w14:textId="4C0DF298" w:rsidR="004E59FC" w:rsidRDefault="004E59FC">
      <w:pPr>
        <w:pStyle w:val="FootnoteText"/>
      </w:pPr>
      <w:r>
        <w:rPr>
          <w:rStyle w:val="FootnoteReference"/>
        </w:rPr>
        <w:footnoteRef/>
      </w:r>
      <w:r>
        <w:t xml:space="preserve"> To include in the context of New Listings </w:t>
      </w:r>
      <w:r w:rsidR="0041753F">
        <w:t xml:space="preserve">(e.g. IPOs and dual primary or secondary listings) </w:t>
      </w:r>
      <w:r>
        <w:t xml:space="preserve">per Rule 3A.46. </w:t>
      </w:r>
    </w:p>
  </w:footnote>
  <w:footnote w:id="16">
    <w:p w14:paraId="1206BB2A" w14:textId="4EE497B3" w:rsidR="00D615EA" w:rsidRDefault="00D615EA">
      <w:pPr>
        <w:pStyle w:val="FootnoteText"/>
      </w:pPr>
      <w:r>
        <w:rPr>
          <w:rStyle w:val="FootnoteReference"/>
        </w:rPr>
        <w:footnoteRef/>
      </w:r>
      <w:r>
        <w:t xml:space="preserve"> </w:t>
      </w:r>
      <w:r w:rsidR="00AC114F">
        <w:t xml:space="preserve">Where an indemnity clause is desirable, </w:t>
      </w:r>
      <w:r w:rsidR="0084794C">
        <w:t xml:space="preserve">house standard forms may be used.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5BD3" w14:textId="77777777" w:rsidR="00D3416E" w:rsidRDefault="00D3416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numFmt w:val="none"/>
      <w:lvlText w:val=""/>
      <w:lvlJc w:val="left"/>
    </w:lvl>
  </w:abstractNum>
  <w:abstractNum w:abstractNumId="1" w15:restartNumberingAfterBreak="0">
    <w:nsid w:val="04474DCE"/>
    <w:multiLevelType w:val="singleLevel"/>
    <w:tmpl w:val="40E63044"/>
    <w:lvl w:ilvl="0">
      <w:start w:val="16"/>
      <w:numFmt w:val="decimal"/>
      <w:lvlText w:val="%1."/>
      <w:lvlJc w:val="left"/>
      <w:pPr>
        <w:tabs>
          <w:tab w:val="num" w:pos="720"/>
        </w:tabs>
        <w:ind w:left="720" w:hanging="720"/>
      </w:pPr>
      <w:rPr>
        <w:rFonts w:hint="default"/>
      </w:rPr>
    </w:lvl>
  </w:abstractNum>
  <w:abstractNum w:abstractNumId="2" w15:restartNumberingAfterBreak="0">
    <w:nsid w:val="045D15E4"/>
    <w:multiLevelType w:val="singleLevel"/>
    <w:tmpl w:val="1A629FCA"/>
    <w:lvl w:ilvl="0">
      <w:start w:val="4"/>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 w15:restartNumberingAfterBreak="0">
    <w:nsid w:val="0D0F3171"/>
    <w:multiLevelType w:val="singleLevel"/>
    <w:tmpl w:val="DFC297D4"/>
    <w:lvl w:ilvl="0">
      <w:start w:val="1"/>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4" w15:restartNumberingAfterBreak="0">
    <w:nsid w:val="14455F57"/>
    <w:multiLevelType w:val="singleLevel"/>
    <w:tmpl w:val="A466616C"/>
    <w:lvl w:ilvl="0">
      <w:start w:val="2"/>
      <w:numFmt w:val="lowerLetter"/>
      <w:lvlText w:val="(%1) "/>
      <w:legacy w:legacy="1" w:legacySpace="0" w:legacyIndent="360"/>
      <w:lvlJc w:val="left"/>
      <w:pPr>
        <w:ind w:left="1440" w:hanging="360"/>
      </w:pPr>
      <w:rPr>
        <w:rFonts w:ascii="Times New Roman" w:hAnsi="Times New Roman" w:hint="default"/>
        <w:b w:val="0"/>
        <w:i w:val="0"/>
        <w:sz w:val="22"/>
        <w:u w:val="none"/>
      </w:rPr>
    </w:lvl>
  </w:abstractNum>
  <w:abstractNum w:abstractNumId="5" w15:restartNumberingAfterBreak="0">
    <w:nsid w:val="15F7556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671260C"/>
    <w:multiLevelType w:val="singleLevel"/>
    <w:tmpl w:val="84A06B5C"/>
    <w:lvl w:ilvl="0">
      <w:start w:val="3"/>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7" w15:restartNumberingAfterBreak="0">
    <w:nsid w:val="17E321CA"/>
    <w:multiLevelType w:val="hybridMultilevel"/>
    <w:tmpl w:val="B2ECACF2"/>
    <w:lvl w:ilvl="0" w:tplc="0409000F">
      <w:start w:val="1"/>
      <w:numFmt w:val="decimal"/>
      <w:lvlText w:val="%1."/>
      <w:lvlJc w:val="left"/>
      <w:pPr>
        <w:ind w:left="720" w:hanging="360"/>
      </w:pPr>
    </w:lvl>
    <w:lvl w:ilvl="1" w:tplc="3160A320">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D455E"/>
    <w:multiLevelType w:val="hybridMultilevel"/>
    <w:tmpl w:val="BF302C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80C126F"/>
    <w:multiLevelType w:val="singleLevel"/>
    <w:tmpl w:val="DCDEC34E"/>
    <w:lvl w:ilvl="0">
      <w:start w:val="2"/>
      <w:numFmt w:val="decimal"/>
      <w:lvlText w:val="%1."/>
      <w:lvlJc w:val="left"/>
      <w:pPr>
        <w:tabs>
          <w:tab w:val="num" w:pos="360"/>
        </w:tabs>
        <w:ind w:left="360" w:hanging="360"/>
      </w:pPr>
    </w:lvl>
  </w:abstractNum>
  <w:abstractNum w:abstractNumId="10" w15:restartNumberingAfterBreak="0">
    <w:nsid w:val="2C950E28"/>
    <w:multiLevelType w:val="hybridMultilevel"/>
    <w:tmpl w:val="01C8C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C7CD7"/>
    <w:multiLevelType w:val="singleLevel"/>
    <w:tmpl w:val="467215C8"/>
    <w:lvl w:ilvl="0">
      <w:start w:val="10"/>
      <w:numFmt w:val="decimal"/>
      <w:lvlText w:val="%1. "/>
      <w:legacy w:legacy="1" w:legacySpace="0" w:legacyIndent="360"/>
      <w:lvlJc w:val="left"/>
      <w:pPr>
        <w:ind w:left="360" w:hanging="360"/>
      </w:pPr>
      <w:rPr>
        <w:rFonts w:ascii="Palatino" w:hAnsi="Palatino" w:hint="default"/>
        <w:b w:val="0"/>
        <w:i w:val="0"/>
        <w:sz w:val="22"/>
        <w:u w:val="none"/>
      </w:rPr>
    </w:lvl>
  </w:abstractNum>
  <w:abstractNum w:abstractNumId="12" w15:restartNumberingAfterBreak="0">
    <w:nsid w:val="319B324B"/>
    <w:multiLevelType w:val="singleLevel"/>
    <w:tmpl w:val="5A20D874"/>
    <w:lvl w:ilvl="0">
      <w:start w:val="1"/>
      <w:numFmt w:val="lowerLetter"/>
      <w:lvlText w:val="(%1) "/>
      <w:legacy w:legacy="1" w:legacySpace="0" w:legacyIndent="360"/>
      <w:lvlJc w:val="left"/>
      <w:pPr>
        <w:ind w:left="1440" w:hanging="360"/>
      </w:pPr>
      <w:rPr>
        <w:rFonts w:ascii="Times New Roman" w:hAnsi="Times New Roman" w:hint="default"/>
        <w:b w:val="0"/>
        <w:i w:val="0"/>
        <w:sz w:val="22"/>
        <w:u w:val="none"/>
      </w:rPr>
    </w:lvl>
  </w:abstractNum>
  <w:abstractNum w:abstractNumId="13" w15:restartNumberingAfterBreak="0">
    <w:nsid w:val="31EA0DD9"/>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260537D"/>
    <w:multiLevelType w:val="hybridMultilevel"/>
    <w:tmpl w:val="569AA4DE"/>
    <w:lvl w:ilvl="0" w:tplc="0409000F">
      <w:start w:val="1"/>
      <w:numFmt w:val="decimal"/>
      <w:lvlText w:val="%1."/>
      <w:lvlJc w:val="left"/>
      <w:pPr>
        <w:tabs>
          <w:tab w:val="num" w:pos="1267"/>
        </w:tabs>
        <w:ind w:left="1267" w:hanging="360"/>
      </w:p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15" w15:restartNumberingAfterBreak="0">
    <w:nsid w:val="3327266B"/>
    <w:multiLevelType w:val="hybridMultilevel"/>
    <w:tmpl w:val="A858C2DC"/>
    <w:lvl w:ilvl="0" w:tplc="6470A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736ED3"/>
    <w:multiLevelType w:val="hybridMultilevel"/>
    <w:tmpl w:val="B902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2756C"/>
    <w:multiLevelType w:val="singleLevel"/>
    <w:tmpl w:val="E0F6BFFE"/>
    <w:lvl w:ilvl="0">
      <w:start w:val="2"/>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8" w15:restartNumberingAfterBreak="0">
    <w:nsid w:val="405413F1"/>
    <w:multiLevelType w:val="hybridMultilevel"/>
    <w:tmpl w:val="EBB2A966"/>
    <w:lvl w:ilvl="0" w:tplc="EC12296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67D7E6B"/>
    <w:multiLevelType w:val="singleLevel"/>
    <w:tmpl w:val="5B70653C"/>
    <w:lvl w:ilvl="0">
      <w:start w:val="4"/>
      <w:numFmt w:val="upperLetter"/>
      <w:lvlText w:val="%1. "/>
      <w:legacy w:legacy="1" w:legacySpace="0" w:legacyIndent="360"/>
      <w:lvlJc w:val="left"/>
      <w:pPr>
        <w:ind w:left="1440" w:hanging="360"/>
      </w:pPr>
      <w:rPr>
        <w:rFonts w:ascii="Palatino" w:hAnsi="Palatino" w:hint="default"/>
        <w:b/>
        <w:i w:val="0"/>
        <w:sz w:val="22"/>
        <w:u w:val="single"/>
      </w:rPr>
    </w:lvl>
  </w:abstractNum>
  <w:abstractNum w:abstractNumId="20" w15:restartNumberingAfterBreak="0">
    <w:nsid w:val="4EB12D63"/>
    <w:multiLevelType w:val="singleLevel"/>
    <w:tmpl w:val="FBA44C36"/>
    <w:lvl w:ilvl="0">
      <w:start w:val="1"/>
      <w:numFmt w:val="lowerLetter"/>
      <w:lvlText w:val="(%1) "/>
      <w:legacy w:legacy="1" w:legacySpace="0" w:legacyIndent="360"/>
      <w:lvlJc w:val="left"/>
      <w:pPr>
        <w:ind w:left="1440" w:hanging="360"/>
      </w:pPr>
      <w:rPr>
        <w:rFonts w:ascii="Times New Roman" w:hAnsi="Times New Roman" w:hint="default"/>
        <w:b w:val="0"/>
        <w:i w:val="0"/>
        <w:sz w:val="22"/>
        <w:u w:val="none"/>
      </w:rPr>
    </w:lvl>
  </w:abstractNum>
  <w:abstractNum w:abstractNumId="21" w15:restartNumberingAfterBreak="0">
    <w:nsid w:val="52B82B96"/>
    <w:multiLevelType w:val="hybridMultilevel"/>
    <w:tmpl w:val="01C8C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0F3F59"/>
    <w:multiLevelType w:val="singleLevel"/>
    <w:tmpl w:val="E034E4BA"/>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3" w15:restartNumberingAfterBreak="0">
    <w:nsid w:val="5AF711EC"/>
    <w:multiLevelType w:val="singleLevel"/>
    <w:tmpl w:val="2B26B2F6"/>
    <w:lvl w:ilvl="0">
      <w:start w:val="1"/>
      <w:numFmt w:val="lowerRoman"/>
      <w:pStyle w:val="roman1"/>
      <w:lvlText w:val="(%1)"/>
      <w:lvlJc w:val="left"/>
      <w:pPr>
        <w:tabs>
          <w:tab w:val="num" w:pos="720"/>
        </w:tabs>
        <w:ind w:left="567" w:hanging="567"/>
      </w:pPr>
      <w:rPr>
        <w:rFonts w:ascii="Arial" w:hAnsi="Arial" w:hint="default"/>
        <w:b w:val="0"/>
        <w:i w:val="0"/>
        <w:sz w:val="20"/>
      </w:rPr>
    </w:lvl>
  </w:abstractNum>
  <w:abstractNum w:abstractNumId="24" w15:restartNumberingAfterBreak="0">
    <w:nsid w:val="5D85706D"/>
    <w:multiLevelType w:val="singleLevel"/>
    <w:tmpl w:val="DFC297D4"/>
    <w:lvl w:ilvl="0">
      <w:start w:val="1"/>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25" w15:restartNumberingAfterBreak="0">
    <w:nsid w:val="5DA95463"/>
    <w:multiLevelType w:val="hybridMultilevel"/>
    <w:tmpl w:val="912CD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6A3E9A"/>
    <w:multiLevelType w:val="singleLevel"/>
    <w:tmpl w:val="919C72CC"/>
    <w:lvl w:ilvl="0">
      <w:start w:val="1"/>
      <w:numFmt w:val="lowerLetter"/>
      <w:lvlText w:val="(%1) "/>
      <w:legacy w:legacy="1" w:legacySpace="0" w:legacyIndent="360"/>
      <w:lvlJc w:val="left"/>
      <w:pPr>
        <w:ind w:left="1440" w:hanging="360"/>
      </w:pPr>
      <w:rPr>
        <w:rFonts w:ascii="Times New Roman" w:hAnsi="Times New Roman" w:hint="default"/>
        <w:b w:val="0"/>
        <w:i w:val="0"/>
        <w:sz w:val="22"/>
        <w:u w:val="none"/>
      </w:rPr>
    </w:lvl>
  </w:abstractNum>
  <w:abstractNum w:abstractNumId="27" w15:restartNumberingAfterBreak="0">
    <w:nsid w:val="606248DA"/>
    <w:multiLevelType w:val="singleLevel"/>
    <w:tmpl w:val="32541450"/>
    <w:lvl w:ilvl="0">
      <w:start w:val="1"/>
      <w:numFmt w:val="lowerRoman"/>
      <w:lvlText w:val="(%1) "/>
      <w:legacy w:legacy="1" w:legacySpace="0" w:legacyIndent="360"/>
      <w:lvlJc w:val="left"/>
      <w:pPr>
        <w:ind w:left="1800" w:hanging="360"/>
      </w:pPr>
      <w:rPr>
        <w:rFonts w:ascii="Times New Roman" w:hAnsi="Times New Roman" w:hint="default"/>
        <w:b w:val="0"/>
        <w:i w:val="0"/>
        <w:sz w:val="22"/>
        <w:u w:val="none"/>
      </w:rPr>
    </w:lvl>
  </w:abstractNum>
  <w:abstractNum w:abstractNumId="28" w15:restartNumberingAfterBreak="0">
    <w:nsid w:val="619153AF"/>
    <w:multiLevelType w:val="singleLevel"/>
    <w:tmpl w:val="4472230A"/>
    <w:lvl w:ilvl="0">
      <w:start w:val="1"/>
      <w:numFmt w:val="lowerLetter"/>
      <w:lvlText w:val="%1."/>
      <w:lvlJc w:val="left"/>
      <w:pPr>
        <w:tabs>
          <w:tab w:val="num" w:pos="360"/>
        </w:tabs>
        <w:ind w:left="360" w:hanging="360"/>
      </w:pPr>
    </w:lvl>
  </w:abstractNum>
  <w:abstractNum w:abstractNumId="29" w15:restartNumberingAfterBreak="0">
    <w:nsid w:val="63B85589"/>
    <w:multiLevelType w:val="singleLevel"/>
    <w:tmpl w:val="5E02DE9E"/>
    <w:lvl w:ilvl="0">
      <w:start w:val="1"/>
      <w:numFmt w:val="lowerLetter"/>
      <w:lvlText w:val="(%1) "/>
      <w:legacy w:legacy="1" w:legacySpace="0" w:legacyIndent="360"/>
      <w:lvlJc w:val="left"/>
      <w:pPr>
        <w:ind w:left="1440" w:hanging="360"/>
      </w:pPr>
      <w:rPr>
        <w:rFonts w:ascii="Times New Roman" w:hAnsi="Times New Roman" w:hint="default"/>
        <w:b w:val="0"/>
        <w:i w:val="0"/>
        <w:sz w:val="22"/>
        <w:u w:val="none"/>
      </w:rPr>
    </w:lvl>
  </w:abstractNum>
  <w:abstractNum w:abstractNumId="30" w15:restartNumberingAfterBreak="0">
    <w:nsid w:val="640030F7"/>
    <w:multiLevelType w:val="hybridMultilevel"/>
    <w:tmpl w:val="8026C3F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6C0840DD"/>
    <w:multiLevelType w:val="singleLevel"/>
    <w:tmpl w:val="3702ACB2"/>
    <w:lvl w:ilvl="0">
      <w:start w:val="1"/>
      <w:numFmt w:val="lowerLetter"/>
      <w:lvlText w:val="(%1) "/>
      <w:legacy w:legacy="1" w:legacySpace="0" w:legacyIndent="360"/>
      <w:lvlJc w:val="left"/>
      <w:pPr>
        <w:ind w:left="1440" w:hanging="360"/>
      </w:pPr>
      <w:rPr>
        <w:rFonts w:ascii="Times New Roman" w:hAnsi="Times New Roman" w:hint="default"/>
        <w:b w:val="0"/>
        <w:i w:val="0"/>
        <w:sz w:val="22"/>
        <w:u w:val="none"/>
      </w:rPr>
    </w:lvl>
  </w:abstractNum>
  <w:abstractNum w:abstractNumId="32" w15:restartNumberingAfterBreak="0">
    <w:nsid w:val="6F56021C"/>
    <w:multiLevelType w:val="singleLevel"/>
    <w:tmpl w:val="17625F48"/>
    <w:lvl w:ilvl="0">
      <w:start w:val="11"/>
      <w:numFmt w:val="decimal"/>
      <w:lvlText w:val="%1. "/>
      <w:legacy w:legacy="1" w:legacySpace="0" w:legacyIndent="360"/>
      <w:lvlJc w:val="left"/>
      <w:pPr>
        <w:ind w:left="360" w:hanging="360"/>
      </w:pPr>
      <w:rPr>
        <w:rFonts w:ascii="Palatino" w:hAnsi="Palatino" w:hint="default"/>
        <w:b w:val="0"/>
        <w:i w:val="0"/>
        <w:sz w:val="22"/>
        <w:u w:val="none"/>
      </w:rPr>
    </w:lvl>
  </w:abstractNum>
  <w:abstractNum w:abstractNumId="33" w15:restartNumberingAfterBreak="0">
    <w:nsid w:val="74F4073F"/>
    <w:multiLevelType w:val="singleLevel"/>
    <w:tmpl w:val="6F9C4696"/>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4" w15:restartNumberingAfterBreak="0">
    <w:nsid w:val="7D5C0B8B"/>
    <w:multiLevelType w:val="hybridMultilevel"/>
    <w:tmpl w:val="2A5200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19220212">
    <w:abstractNumId w:val="3"/>
  </w:num>
  <w:num w:numId="2" w16cid:durableId="909580301">
    <w:abstractNumId w:val="24"/>
  </w:num>
  <w:num w:numId="3" w16cid:durableId="383454161">
    <w:abstractNumId w:val="29"/>
  </w:num>
  <w:num w:numId="4" w16cid:durableId="36662705">
    <w:abstractNumId w:val="29"/>
    <w:lvlOverride w:ilvl="0">
      <w:lvl w:ilvl="0">
        <w:start w:val="2"/>
        <w:numFmt w:val="lowerLetter"/>
        <w:lvlText w:val="(%1) "/>
        <w:legacy w:legacy="1" w:legacySpace="0" w:legacyIndent="360"/>
        <w:lvlJc w:val="left"/>
        <w:pPr>
          <w:ind w:left="1440" w:hanging="360"/>
        </w:pPr>
        <w:rPr>
          <w:rFonts w:ascii="Times New Roman" w:hAnsi="Times New Roman" w:hint="default"/>
          <w:b w:val="0"/>
          <w:i w:val="0"/>
          <w:sz w:val="23"/>
          <w:u w:val="none"/>
        </w:rPr>
      </w:lvl>
    </w:lvlOverride>
  </w:num>
  <w:num w:numId="5" w16cid:durableId="101921097">
    <w:abstractNumId w:val="4"/>
  </w:num>
  <w:num w:numId="6" w16cid:durableId="1858158777">
    <w:abstractNumId w:val="19"/>
  </w:num>
  <w:num w:numId="7" w16cid:durableId="937761577">
    <w:abstractNumId w:val="33"/>
  </w:num>
  <w:num w:numId="8" w16cid:durableId="1758135455">
    <w:abstractNumId w:val="17"/>
  </w:num>
  <w:num w:numId="9" w16cid:durableId="125977635">
    <w:abstractNumId w:val="6"/>
  </w:num>
  <w:num w:numId="10" w16cid:durableId="20018498">
    <w:abstractNumId w:val="2"/>
  </w:num>
  <w:num w:numId="11" w16cid:durableId="1348630692">
    <w:abstractNumId w:val="1"/>
  </w:num>
  <w:num w:numId="12" w16cid:durableId="2121683941">
    <w:abstractNumId w:val="0"/>
  </w:num>
  <w:num w:numId="13" w16cid:durableId="581329655">
    <w:abstractNumId w:val="22"/>
  </w:num>
  <w:num w:numId="14" w16cid:durableId="679308555">
    <w:abstractNumId w:val="22"/>
    <w:lvlOverride w:ilvl="0">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15" w16cid:durableId="1931423340">
    <w:abstractNumId w:val="11"/>
  </w:num>
  <w:num w:numId="16" w16cid:durableId="1711420453">
    <w:abstractNumId w:val="32"/>
  </w:num>
  <w:num w:numId="17" w16cid:durableId="1589344257">
    <w:abstractNumId w:val="13"/>
  </w:num>
  <w:num w:numId="18" w16cid:durableId="2016030910">
    <w:abstractNumId w:val="28"/>
  </w:num>
  <w:num w:numId="19" w16cid:durableId="1938825178">
    <w:abstractNumId w:val="9"/>
  </w:num>
  <w:num w:numId="20" w16cid:durableId="1528255794">
    <w:abstractNumId w:val="12"/>
  </w:num>
  <w:num w:numId="21" w16cid:durableId="83842054">
    <w:abstractNumId w:val="12"/>
    <w:lvlOverride w:ilvl="0">
      <w:lvl w:ilvl="0">
        <w:start w:val="3"/>
        <w:numFmt w:val="lowerLetter"/>
        <w:lvlText w:val="(%1) "/>
        <w:legacy w:legacy="1" w:legacySpace="0" w:legacyIndent="360"/>
        <w:lvlJc w:val="left"/>
        <w:pPr>
          <w:ind w:left="1440" w:hanging="360"/>
        </w:pPr>
        <w:rPr>
          <w:rFonts w:ascii="Times New Roman" w:hAnsi="Times New Roman" w:hint="default"/>
          <w:b w:val="0"/>
          <w:i w:val="0"/>
          <w:sz w:val="22"/>
          <w:u w:val="none"/>
        </w:rPr>
      </w:lvl>
    </w:lvlOverride>
  </w:num>
  <w:num w:numId="22" w16cid:durableId="501120677">
    <w:abstractNumId w:val="20"/>
  </w:num>
  <w:num w:numId="23" w16cid:durableId="1204173464">
    <w:abstractNumId w:val="31"/>
  </w:num>
  <w:num w:numId="24" w16cid:durableId="487863420">
    <w:abstractNumId w:val="27"/>
  </w:num>
  <w:num w:numId="25" w16cid:durableId="2014723963">
    <w:abstractNumId w:val="26"/>
  </w:num>
  <w:num w:numId="26" w16cid:durableId="1364592723">
    <w:abstractNumId w:val="5"/>
  </w:num>
  <w:num w:numId="27" w16cid:durableId="231427567">
    <w:abstractNumId w:val="8"/>
  </w:num>
  <w:num w:numId="28" w16cid:durableId="1483350884">
    <w:abstractNumId w:val="14"/>
  </w:num>
  <w:num w:numId="29" w16cid:durableId="500852205">
    <w:abstractNumId w:val="23"/>
  </w:num>
  <w:num w:numId="30" w16cid:durableId="511771605">
    <w:abstractNumId w:val="23"/>
    <w:lvlOverride w:ilvl="0">
      <w:startOverride w:val="1"/>
    </w:lvlOverride>
  </w:num>
  <w:num w:numId="31" w16cid:durableId="1544175204">
    <w:abstractNumId w:val="18"/>
  </w:num>
  <w:num w:numId="32" w16cid:durableId="241523601">
    <w:abstractNumId w:val="16"/>
  </w:num>
  <w:num w:numId="33" w16cid:durableId="733049295">
    <w:abstractNumId w:val="21"/>
  </w:num>
  <w:num w:numId="34" w16cid:durableId="2127968361">
    <w:abstractNumId w:val="25"/>
  </w:num>
  <w:num w:numId="35" w16cid:durableId="1681086151">
    <w:abstractNumId w:val="10"/>
  </w:num>
  <w:num w:numId="36" w16cid:durableId="236787916">
    <w:abstractNumId w:val="7"/>
  </w:num>
  <w:num w:numId="37" w16cid:durableId="770509457">
    <w:abstractNumId w:val="34"/>
  </w:num>
  <w:num w:numId="38" w16cid:durableId="28534096">
    <w:abstractNumId w:val="15"/>
  </w:num>
  <w:num w:numId="39" w16cid:durableId="34432999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BE9"/>
    <w:rsid w:val="00000DF2"/>
    <w:rsid w:val="00000F76"/>
    <w:rsid w:val="00004BB5"/>
    <w:rsid w:val="00010041"/>
    <w:rsid w:val="00015172"/>
    <w:rsid w:val="000301F2"/>
    <w:rsid w:val="0003736B"/>
    <w:rsid w:val="00041FD5"/>
    <w:rsid w:val="0004343D"/>
    <w:rsid w:val="00057E55"/>
    <w:rsid w:val="00072820"/>
    <w:rsid w:val="00091BE2"/>
    <w:rsid w:val="000957B0"/>
    <w:rsid w:val="000A0A82"/>
    <w:rsid w:val="000B55BF"/>
    <w:rsid w:val="000E2D73"/>
    <w:rsid w:val="000F6262"/>
    <w:rsid w:val="00122C0D"/>
    <w:rsid w:val="00126734"/>
    <w:rsid w:val="00126EEA"/>
    <w:rsid w:val="00134480"/>
    <w:rsid w:val="00135231"/>
    <w:rsid w:val="00136579"/>
    <w:rsid w:val="00147106"/>
    <w:rsid w:val="00164485"/>
    <w:rsid w:val="001A645F"/>
    <w:rsid w:val="001A64F2"/>
    <w:rsid w:val="001B4D48"/>
    <w:rsid w:val="001C46FA"/>
    <w:rsid w:val="001D597A"/>
    <w:rsid w:val="001E266F"/>
    <w:rsid w:val="00213E49"/>
    <w:rsid w:val="00227BE9"/>
    <w:rsid w:val="00273253"/>
    <w:rsid w:val="00280A34"/>
    <w:rsid w:val="00294D92"/>
    <w:rsid w:val="002A0533"/>
    <w:rsid w:val="002B2489"/>
    <w:rsid w:val="002C670A"/>
    <w:rsid w:val="002D373E"/>
    <w:rsid w:val="002D7910"/>
    <w:rsid w:val="002E526E"/>
    <w:rsid w:val="002E7684"/>
    <w:rsid w:val="00305ADD"/>
    <w:rsid w:val="0031138D"/>
    <w:rsid w:val="00316627"/>
    <w:rsid w:val="00334C5E"/>
    <w:rsid w:val="00364109"/>
    <w:rsid w:val="003667C9"/>
    <w:rsid w:val="003821FC"/>
    <w:rsid w:val="00387B42"/>
    <w:rsid w:val="003A1BEE"/>
    <w:rsid w:val="003A230C"/>
    <w:rsid w:val="003A2C56"/>
    <w:rsid w:val="003A5C49"/>
    <w:rsid w:val="003B7C4D"/>
    <w:rsid w:val="003C0EB4"/>
    <w:rsid w:val="003C7CF6"/>
    <w:rsid w:val="003D25C7"/>
    <w:rsid w:val="003D4FDD"/>
    <w:rsid w:val="003E29F0"/>
    <w:rsid w:val="003E6888"/>
    <w:rsid w:val="003F0A66"/>
    <w:rsid w:val="003F30F1"/>
    <w:rsid w:val="003F5804"/>
    <w:rsid w:val="0040468C"/>
    <w:rsid w:val="00406BC0"/>
    <w:rsid w:val="0040704B"/>
    <w:rsid w:val="00407EA8"/>
    <w:rsid w:val="0041753F"/>
    <w:rsid w:val="0044522C"/>
    <w:rsid w:val="00455ED5"/>
    <w:rsid w:val="00457334"/>
    <w:rsid w:val="00464F83"/>
    <w:rsid w:val="004658EA"/>
    <w:rsid w:val="00465A4B"/>
    <w:rsid w:val="004713C5"/>
    <w:rsid w:val="004868D5"/>
    <w:rsid w:val="004A67ED"/>
    <w:rsid w:val="004B0405"/>
    <w:rsid w:val="004B4D44"/>
    <w:rsid w:val="004B5300"/>
    <w:rsid w:val="004B63CA"/>
    <w:rsid w:val="004B69E6"/>
    <w:rsid w:val="004B69F5"/>
    <w:rsid w:val="004D2DDA"/>
    <w:rsid w:val="004E59FC"/>
    <w:rsid w:val="00505D41"/>
    <w:rsid w:val="005077FE"/>
    <w:rsid w:val="00516424"/>
    <w:rsid w:val="00524FF2"/>
    <w:rsid w:val="00531AA2"/>
    <w:rsid w:val="00532CAC"/>
    <w:rsid w:val="0054627D"/>
    <w:rsid w:val="00546481"/>
    <w:rsid w:val="005469FC"/>
    <w:rsid w:val="00560E68"/>
    <w:rsid w:val="00567BE0"/>
    <w:rsid w:val="00591F0F"/>
    <w:rsid w:val="005C4A88"/>
    <w:rsid w:val="005F76A8"/>
    <w:rsid w:val="006168B9"/>
    <w:rsid w:val="00630F08"/>
    <w:rsid w:val="006337A2"/>
    <w:rsid w:val="00633ADE"/>
    <w:rsid w:val="00634408"/>
    <w:rsid w:val="00643E78"/>
    <w:rsid w:val="006547A3"/>
    <w:rsid w:val="00657609"/>
    <w:rsid w:val="00667F69"/>
    <w:rsid w:val="006917F0"/>
    <w:rsid w:val="006B1737"/>
    <w:rsid w:val="006C285E"/>
    <w:rsid w:val="006C2D6A"/>
    <w:rsid w:val="006C7B85"/>
    <w:rsid w:val="006D636C"/>
    <w:rsid w:val="006E667B"/>
    <w:rsid w:val="006F465A"/>
    <w:rsid w:val="00701565"/>
    <w:rsid w:val="00702166"/>
    <w:rsid w:val="0071096B"/>
    <w:rsid w:val="00716481"/>
    <w:rsid w:val="0074439B"/>
    <w:rsid w:val="00744E72"/>
    <w:rsid w:val="00750FF1"/>
    <w:rsid w:val="00755B5E"/>
    <w:rsid w:val="00786A26"/>
    <w:rsid w:val="00787F86"/>
    <w:rsid w:val="007A3CF5"/>
    <w:rsid w:val="007C331C"/>
    <w:rsid w:val="007E7197"/>
    <w:rsid w:val="008209DB"/>
    <w:rsid w:val="008465E9"/>
    <w:rsid w:val="0084794C"/>
    <w:rsid w:val="0085640A"/>
    <w:rsid w:val="00857BB3"/>
    <w:rsid w:val="00857FAF"/>
    <w:rsid w:val="008630CA"/>
    <w:rsid w:val="0086411F"/>
    <w:rsid w:val="008716A2"/>
    <w:rsid w:val="008834EE"/>
    <w:rsid w:val="00887F3E"/>
    <w:rsid w:val="00891CFA"/>
    <w:rsid w:val="008A297A"/>
    <w:rsid w:val="008A5D93"/>
    <w:rsid w:val="008B5F6D"/>
    <w:rsid w:val="008B7E93"/>
    <w:rsid w:val="008C740D"/>
    <w:rsid w:val="008E0036"/>
    <w:rsid w:val="008E0544"/>
    <w:rsid w:val="008E5327"/>
    <w:rsid w:val="008E7253"/>
    <w:rsid w:val="00911875"/>
    <w:rsid w:val="00911C50"/>
    <w:rsid w:val="0091313F"/>
    <w:rsid w:val="009132F6"/>
    <w:rsid w:val="0091587C"/>
    <w:rsid w:val="00917C2A"/>
    <w:rsid w:val="0092237B"/>
    <w:rsid w:val="00925383"/>
    <w:rsid w:val="00926A19"/>
    <w:rsid w:val="009320B0"/>
    <w:rsid w:val="009375D3"/>
    <w:rsid w:val="00937B58"/>
    <w:rsid w:val="00944579"/>
    <w:rsid w:val="00947056"/>
    <w:rsid w:val="00956DFF"/>
    <w:rsid w:val="00957D5D"/>
    <w:rsid w:val="009609FB"/>
    <w:rsid w:val="00960CA1"/>
    <w:rsid w:val="00976C32"/>
    <w:rsid w:val="009873CD"/>
    <w:rsid w:val="009C1427"/>
    <w:rsid w:val="009D66C6"/>
    <w:rsid w:val="009E5E7B"/>
    <w:rsid w:val="009F0232"/>
    <w:rsid w:val="009F387C"/>
    <w:rsid w:val="009F63BB"/>
    <w:rsid w:val="00A20344"/>
    <w:rsid w:val="00A278FC"/>
    <w:rsid w:val="00A516FE"/>
    <w:rsid w:val="00A628E3"/>
    <w:rsid w:val="00A72F46"/>
    <w:rsid w:val="00A83E10"/>
    <w:rsid w:val="00A90827"/>
    <w:rsid w:val="00AA18FD"/>
    <w:rsid w:val="00AC114F"/>
    <w:rsid w:val="00AC1547"/>
    <w:rsid w:val="00AE1BDC"/>
    <w:rsid w:val="00AE60B4"/>
    <w:rsid w:val="00AE677F"/>
    <w:rsid w:val="00B14555"/>
    <w:rsid w:val="00B72372"/>
    <w:rsid w:val="00B732D4"/>
    <w:rsid w:val="00B7331F"/>
    <w:rsid w:val="00B76A46"/>
    <w:rsid w:val="00B87A9C"/>
    <w:rsid w:val="00BA1E2D"/>
    <w:rsid w:val="00BA2779"/>
    <w:rsid w:val="00BA3FE7"/>
    <w:rsid w:val="00BA7F8E"/>
    <w:rsid w:val="00BB0FFB"/>
    <w:rsid w:val="00BC42D5"/>
    <w:rsid w:val="00BC77F6"/>
    <w:rsid w:val="00BE2616"/>
    <w:rsid w:val="00C23FCA"/>
    <w:rsid w:val="00C346F4"/>
    <w:rsid w:val="00C417FC"/>
    <w:rsid w:val="00C45797"/>
    <w:rsid w:val="00C54F6A"/>
    <w:rsid w:val="00C67613"/>
    <w:rsid w:val="00C710EB"/>
    <w:rsid w:val="00C95AD2"/>
    <w:rsid w:val="00CA1516"/>
    <w:rsid w:val="00CA4667"/>
    <w:rsid w:val="00CD1489"/>
    <w:rsid w:val="00CE17DA"/>
    <w:rsid w:val="00D01D2F"/>
    <w:rsid w:val="00D265BB"/>
    <w:rsid w:val="00D3416E"/>
    <w:rsid w:val="00D604AD"/>
    <w:rsid w:val="00D615EA"/>
    <w:rsid w:val="00D848E4"/>
    <w:rsid w:val="00D96173"/>
    <w:rsid w:val="00D962AF"/>
    <w:rsid w:val="00DA27BA"/>
    <w:rsid w:val="00DB32BE"/>
    <w:rsid w:val="00DC0AD9"/>
    <w:rsid w:val="00DC56F7"/>
    <w:rsid w:val="00DD3FC9"/>
    <w:rsid w:val="00DE4484"/>
    <w:rsid w:val="00DF055C"/>
    <w:rsid w:val="00DF2D80"/>
    <w:rsid w:val="00E052E2"/>
    <w:rsid w:val="00E21D68"/>
    <w:rsid w:val="00E26D75"/>
    <w:rsid w:val="00E33219"/>
    <w:rsid w:val="00E34CCE"/>
    <w:rsid w:val="00E409F8"/>
    <w:rsid w:val="00E647ED"/>
    <w:rsid w:val="00E66FD3"/>
    <w:rsid w:val="00E713FE"/>
    <w:rsid w:val="00E77392"/>
    <w:rsid w:val="00E7788F"/>
    <w:rsid w:val="00E8215E"/>
    <w:rsid w:val="00E93313"/>
    <w:rsid w:val="00E93831"/>
    <w:rsid w:val="00EA6AA6"/>
    <w:rsid w:val="00EC0D2A"/>
    <w:rsid w:val="00EC5314"/>
    <w:rsid w:val="00EC6A71"/>
    <w:rsid w:val="00F1483B"/>
    <w:rsid w:val="00F2223D"/>
    <w:rsid w:val="00F31289"/>
    <w:rsid w:val="00F3156B"/>
    <w:rsid w:val="00F32FC4"/>
    <w:rsid w:val="00F41CB1"/>
    <w:rsid w:val="00F700CE"/>
    <w:rsid w:val="00F77E82"/>
    <w:rsid w:val="00F81095"/>
    <w:rsid w:val="00F836AA"/>
    <w:rsid w:val="00FA1607"/>
    <w:rsid w:val="00FB6741"/>
    <w:rsid w:val="00FB7152"/>
    <w:rsid w:val="00FC2647"/>
    <w:rsid w:val="00FC6BE2"/>
    <w:rsid w:val="00FC7ED2"/>
    <w:rsid w:val="00FD1E4F"/>
    <w:rsid w:val="00FD6A18"/>
    <w:rsid w:val="00FD6B36"/>
    <w:rsid w:val="00FF3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6CAB8D"/>
  <w15:chartTrackingRefBased/>
  <w15:docId w15:val="{0A39B8E8-F835-4299-AD77-70F1460F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2"/>
    </w:rPr>
  </w:style>
  <w:style w:type="paragraph" w:styleId="Heading1">
    <w:name w:val="heading 1"/>
    <w:basedOn w:val="Normal"/>
    <w:next w:val="Heading2"/>
    <w:qFormat/>
    <w:pPr>
      <w:keepNext/>
      <w:keepLines/>
      <w:spacing w:after="480"/>
      <w:jc w:val="center"/>
      <w:outlineLvl w:val="0"/>
    </w:pPr>
    <w:rPr>
      <w:b/>
      <w:sz w:val="40"/>
    </w:rPr>
  </w:style>
  <w:style w:type="paragraph" w:styleId="Heading2">
    <w:name w:val="heading 2"/>
    <w:basedOn w:val="Normal"/>
    <w:next w:val="BodyText"/>
    <w:qFormat/>
    <w:pPr>
      <w:keepNext/>
      <w:keepLines/>
      <w:spacing w:after="240"/>
      <w:outlineLvl w:val="1"/>
    </w:pPr>
    <w:rPr>
      <w:b/>
      <w:color w:val="FF00FF"/>
      <w:sz w:val="28"/>
    </w:rPr>
  </w:style>
  <w:style w:type="paragraph" w:styleId="Heading3">
    <w:name w:val="heading 3"/>
    <w:basedOn w:val="Normal"/>
    <w:next w:val="BodyText"/>
    <w:qFormat/>
    <w:pPr>
      <w:keepNext/>
      <w:keepLines/>
      <w:spacing w:before="120" w:after="240"/>
      <w:outlineLvl w:val="2"/>
    </w:pPr>
    <w:rPr>
      <w:b/>
      <w:i/>
      <w:color w:val="00FF00"/>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sz w:val="20"/>
    </w:rPr>
  </w:style>
  <w:style w:type="paragraph" w:styleId="Heading6">
    <w:name w:val="heading 6"/>
    <w:basedOn w:val="Normal"/>
    <w:next w:val="NormalIndent"/>
    <w:qFormat/>
    <w:pPr>
      <w:ind w:left="720"/>
      <w:outlineLvl w:val="5"/>
    </w:pPr>
    <w:rPr>
      <w:sz w:val="20"/>
      <w:u w:val="singl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styleId="NormalIndent">
    <w:name w:val="Normal Indent"/>
    <w:basedOn w:val="Normal"/>
    <w:semiHidden/>
    <w:pPr>
      <w:ind w:left="720"/>
    </w:pPr>
  </w:style>
  <w:style w:type="paragraph" w:customStyle="1" w:styleId="BodyText1">
    <w:name w:val="Body Text1"/>
    <w:basedOn w:val="Normal"/>
    <w:pPr>
      <w:spacing w:after="240"/>
    </w:pPr>
  </w:style>
  <w:style w:type="paragraph" w:customStyle="1" w:styleId="bulletpoint1">
    <w:name w:val="bullet point 1"/>
    <w:basedOn w:val="Normal"/>
    <w:pPr>
      <w:keepLines/>
      <w:spacing w:after="240"/>
      <w:ind w:left="720" w:hanging="360"/>
    </w:pPr>
  </w:style>
  <w:style w:type="paragraph" w:customStyle="1" w:styleId="bulletpoint2">
    <w:name w:val="bullet point 2"/>
    <w:basedOn w:val="Normal"/>
    <w:pPr>
      <w:keepLines/>
      <w:spacing w:after="240"/>
      <w:ind w:left="1440" w:hanging="360"/>
    </w:pPr>
  </w:style>
  <w:style w:type="paragraph" w:customStyle="1" w:styleId="bulletpoint3">
    <w:name w:val="bullet point 3"/>
    <w:basedOn w:val="Normal"/>
    <w:pPr>
      <w:keepLines/>
      <w:spacing w:after="240"/>
      <w:ind w:left="2160" w:hanging="360"/>
    </w:pPr>
  </w:style>
  <w:style w:type="paragraph" w:customStyle="1" w:styleId="columheading">
    <w:name w:val="colum heading"/>
    <w:basedOn w:val="Normal"/>
    <w:pPr>
      <w:keepLines/>
      <w:pBdr>
        <w:bottom w:val="single" w:sz="6" w:space="1" w:color="auto"/>
        <w:between w:val="single" w:sz="6" w:space="1" w:color="auto"/>
      </w:pBdr>
      <w:jc w:val="center"/>
    </w:pPr>
    <w:rPr>
      <w:b/>
      <w:sz w:val="20"/>
    </w:rPr>
  </w:style>
  <w:style w:type="paragraph" w:customStyle="1" w:styleId="columheading-">
    <w:name w:val="colum heading-"/>
    <w:basedOn w:val="columheading"/>
    <w:pPr>
      <w:pBdr>
        <w:bottom w:val="none" w:sz="0" w:space="0" w:color="auto"/>
        <w:between w:val="none" w:sz="0" w:space="0" w:color="auto"/>
      </w:pBdr>
    </w:pPr>
  </w:style>
  <w:style w:type="character" w:styleId="CommentReference">
    <w:name w:val="annotation reference"/>
    <w:semiHidden/>
    <w:rPr>
      <w:rFonts w:ascii="Helvetica" w:hAnsi="Helvetica"/>
      <w:sz w:val="16"/>
    </w:rPr>
  </w:style>
  <w:style w:type="paragraph" w:styleId="CommentText">
    <w:name w:val="annotation text"/>
    <w:basedOn w:val="Normal"/>
    <w:link w:val="CommentTextChar"/>
    <w:semiHidden/>
    <w:rPr>
      <w:sz w:val="20"/>
    </w:rPr>
  </w:style>
  <w:style w:type="paragraph" w:styleId="Footer">
    <w:name w:val="footer"/>
    <w:basedOn w:val="Normal"/>
    <w:semiHidden/>
    <w:pPr>
      <w:tabs>
        <w:tab w:val="left" w:pos="8280"/>
      </w:tabs>
      <w:jc w:val="right"/>
    </w:pPr>
    <w:rPr>
      <w:color w:val="FF0000"/>
    </w:rPr>
  </w:style>
  <w:style w:type="character" w:styleId="FootnoteReference">
    <w:name w:val="footnote reference"/>
    <w:semiHidden/>
    <w:rPr>
      <w:rFonts w:ascii="Helvetica" w:hAnsi="Helvetica"/>
      <w:sz w:val="16"/>
      <w:vertAlign w:val="superscript"/>
    </w:rPr>
  </w:style>
  <w:style w:type="paragraph" w:styleId="Index1">
    <w:name w:val="index 1"/>
    <w:basedOn w:val="Normal"/>
    <w:next w:val="Normal"/>
    <w:semiHidden/>
  </w:style>
  <w:style w:type="paragraph" w:styleId="Index2">
    <w:name w:val="index 2"/>
    <w:basedOn w:val="Normal"/>
    <w:next w:val="Normal"/>
    <w:semiHidden/>
    <w:pPr>
      <w:ind w:left="360"/>
    </w:pPr>
  </w:style>
  <w:style w:type="paragraph" w:styleId="Index3">
    <w:name w:val="index 3"/>
    <w:basedOn w:val="Normal"/>
    <w:next w:val="Normal"/>
    <w:semiHidden/>
    <w:pPr>
      <w:ind w:left="720"/>
    </w:pPr>
  </w:style>
  <w:style w:type="paragraph" w:styleId="Index4">
    <w:name w:val="index 4"/>
    <w:basedOn w:val="Normal"/>
    <w:next w:val="Normal"/>
    <w:semiHidden/>
    <w:pPr>
      <w:ind w:left="1080"/>
    </w:pPr>
  </w:style>
  <w:style w:type="paragraph" w:styleId="Index5">
    <w:name w:val="index 5"/>
    <w:basedOn w:val="Normal"/>
    <w:next w:val="Normal"/>
    <w:semiHidden/>
    <w:pPr>
      <w:ind w:left="1440"/>
    </w:pPr>
  </w:style>
  <w:style w:type="paragraph" w:styleId="Index6">
    <w:name w:val="index 6"/>
    <w:basedOn w:val="Normal"/>
    <w:next w:val="Normal"/>
    <w:semiHidden/>
    <w:pPr>
      <w:ind w:left="1800"/>
    </w:pPr>
  </w:style>
  <w:style w:type="paragraph" w:styleId="Index7">
    <w:name w:val="index 7"/>
    <w:basedOn w:val="Normal"/>
    <w:next w:val="Normal"/>
    <w:semiHidden/>
    <w:pPr>
      <w:ind w:left="2160"/>
    </w:pPr>
  </w:style>
  <w:style w:type="paragraph" w:styleId="Index8">
    <w:name w:val="index 8"/>
    <w:basedOn w:val="Normal"/>
    <w:next w:val="Normal"/>
    <w:semiHidden/>
    <w:pPr>
      <w:ind w:left="2520"/>
    </w:pPr>
  </w:style>
  <w:style w:type="paragraph" w:styleId="Index9">
    <w:name w:val="index 9"/>
    <w:basedOn w:val="Normal"/>
    <w:next w:val="Normal"/>
    <w:semiHidden/>
    <w:pPr>
      <w:ind w:left="2880"/>
    </w:pPr>
  </w:style>
  <w:style w:type="paragraph" w:styleId="IndexHeading">
    <w:name w:val="index heading"/>
    <w:basedOn w:val="Normal"/>
    <w:next w:val="Index1"/>
    <w:semiHidden/>
  </w:style>
  <w:style w:type="character" w:styleId="LineNumber">
    <w:name w:val="line number"/>
    <w:semiHidden/>
    <w:rPr>
      <w:rFonts w:ascii="Helvetica" w:hAnsi="Helvetica"/>
    </w:rPr>
  </w:style>
  <w:style w:type="paragraph" w:styleId="MacroText">
    <w:name w:val="macro"/>
    <w:semiHidden/>
    <w:pPr>
      <w:widowControl w:val="0"/>
    </w:pPr>
  </w:style>
  <w:style w:type="paragraph" w:styleId="MessageHeader">
    <w:name w:val="Message Header"/>
    <w:basedOn w:val="Normal"/>
    <w:semiHidden/>
    <w:pPr>
      <w:ind w:left="1080" w:hanging="1080"/>
    </w:pPr>
    <w:rPr>
      <w:sz w:val="24"/>
    </w:rPr>
  </w:style>
  <w:style w:type="character" w:styleId="PageNumber">
    <w:name w:val="page number"/>
    <w:semiHidden/>
    <w:rPr>
      <w:rFonts w:ascii="Helvetica" w:hAnsi="Helvetica"/>
    </w:rPr>
  </w:style>
  <w:style w:type="paragraph" w:styleId="Subtitle">
    <w:name w:val="Subtitle"/>
    <w:basedOn w:val="Normal"/>
    <w:qFormat/>
    <w:pPr>
      <w:spacing w:after="60"/>
      <w:jc w:val="center"/>
    </w:pPr>
    <w:rPr>
      <w:i/>
      <w:sz w:val="24"/>
    </w:rPr>
  </w:style>
  <w:style w:type="paragraph" w:styleId="Title">
    <w:name w:val="Title"/>
    <w:basedOn w:val="Normal"/>
    <w:qFormat/>
    <w:pPr>
      <w:spacing w:before="240" w:after="60"/>
      <w:jc w:val="center"/>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semiHidden/>
    <w:pPr>
      <w:tabs>
        <w:tab w:val="left" w:leader="dot" w:pos="8280"/>
        <w:tab w:val="right" w:pos="8640"/>
      </w:tabs>
      <w:ind w:right="720"/>
    </w:pPr>
  </w:style>
  <w:style w:type="paragraph" w:styleId="TOC2">
    <w:name w:val="toc 2"/>
    <w:basedOn w:val="Normal"/>
    <w:next w:val="Normal"/>
    <w:semiHidden/>
    <w:pPr>
      <w:tabs>
        <w:tab w:val="left" w:leader="dot" w:pos="8280"/>
        <w:tab w:val="right" w:leader="dot" w:pos="8640"/>
      </w:tabs>
      <w:ind w:left="720" w:right="720"/>
    </w:pPr>
  </w:style>
  <w:style w:type="paragraph" w:styleId="TOC3">
    <w:name w:val="toc 3"/>
    <w:basedOn w:val="Normal"/>
    <w:next w:val="Normal"/>
    <w:semiHidden/>
    <w:pPr>
      <w:tabs>
        <w:tab w:val="left" w:leader="dot" w:pos="8280"/>
        <w:tab w:val="right" w:leader="dot" w:pos="8640"/>
      </w:tabs>
      <w:ind w:left="1440" w:right="720"/>
    </w:pPr>
  </w:style>
  <w:style w:type="paragraph" w:styleId="TOC4">
    <w:name w:val="toc 4"/>
    <w:basedOn w:val="Normal"/>
    <w:next w:val="Normal"/>
    <w:semiHidden/>
    <w:pPr>
      <w:tabs>
        <w:tab w:val="left" w:leader="dot" w:pos="8280"/>
        <w:tab w:val="right" w:leader="dot" w:pos="8640"/>
      </w:tabs>
      <w:ind w:left="2160" w:right="720"/>
    </w:pPr>
  </w:style>
  <w:style w:type="paragraph" w:styleId="TOC5">
    <w:name w:val="toc 5"/>
    <w:basedOn w:val="Normal"/>
    <w:next w:val="Normal"/>
    <w:semiHidden/>
    <w:pPr>
      <w:tabs>
        <w:tab w:val="left" w:leader="dot" w:pos="8280"/>
        <w:tab w:val="right" w:leader="dot" w:pos="8640"/>
      </w:tabs>
      <w:ind w:left="2880" w:right="720"/>
    </w:pPr>
  </w:style>
  <w:style w:type="paragraph" w:styleId="TOC6">
    <w:name w:val="toc 6"/>
    <w:basedOn w:val="Normal"/>
    <w:next w:val="Normal"/>
    <w:semiHidden/>
    <w:pPr>
      <w:tabs>
        <w:tab w:val="left" w:leader="dot" w:pos="8280"/>
        <w:tab w:val="right" w:leader="dot" w:pos="8640"/>
      </w:tabs>
      <w:ind w:left="3600" w:right="720"/>
    </w:pPr>
  </w:style>
  <w:style w:type="paragraph" w:styleId="TOC7">
    <w:name w:val="toc 7"/>
    <w:basedOn w:val="Normal"/>
    <w:next w:val="Normal"/>
    <w:semiHidden/>
    <w:pPr>
      <w:tabs>
        <w:tab w:val="left" w:leader="dot" w:pos="8280"/>
        <w:tab w:val="right" w:leader="dot" w:pos="8640"/>
      </w:tabs>
      <w:ind w:left="4320" w:right="720"/>
    </w:pPr>
  </w:style>
  <w:style w:type="paragraph" w:styleId="TOC8">
    <w:name w:val="toc 8"/>
    <w:basedOn w:val="Normal"/>
    <w:next w:val="Normal"/>
    <w:semiHidden/>
    <w:pPr>
      <w:tabs>
        <w:tab w:val="left" w:leader="dot" w:pos="8280"/>
        <w:tab w:val="right" w:leader="dot" w:pos="8640"/>
      </w:tabs>
      <w:ind w:left="5040" w:right="720"/>
    </w:pPr>
  </w:style>
  <w:style w:type="paragraph" w:styleId="TOC9">
    <w:name w:val="toc 9"/>
    <w:basedOn w:val="Normal"/>
    <w:next w:val="Normal"/>
    <w:semiHidden/>
    <w:pPr>
      <w:tabs>
        <w:tab w:val="left" w:leader="dot" w:pos="8280"/>
        <w:tab w:val="right" w:leader="dot" w:pos="8640"/>
      </w:tabs>
      <w:ind w:left="5760" w:right="720"/>
    </w:pPr>
  </w:style>
  <w:style w:type="paragraph" w:styleId="Header">
    <w:name w:val="header"/>
    <w:basedOn w:val="Normal"/>
    <w:semiHidden/>
    <w:pPr>
      <w:widowControl/>
      <w:tabs>
        <w:tab w:val="center" w:pos="4320"/>
        <w:tab w:val="right" w:pos="11520"/>
      </w:tabs>
      <w:spacing w:before="480" w:after="480"/>
      <w:jc w:val="center"/>
    </w:pPr>
  </w:style>
  <w:style w:type="paragraph" w:customStyle="1" w:styleId="Date1">
    <w:name w:val="Date1"/>
    <w:basedOn w:val="Normal"/>
    <w:next w:val="address"/>
    <w:pPr>
      <w:widowControl/>
      <w:spacing w:after="960"/>
      <w:jc w:val="both"/>
    </w:pPr>
    <w:rPr>
      <w:color w:val="FF00FF"/>
    </w:rPr>
  </w:style>
  <w:style w:type="paragraph" w:customStyle="1" w:styleId="address">
    <w:name w:val="address"/>
    <w:basedOn w:val="Date1"/>
    <w:next w:val="Normal"/>
    <w:pPr>
      <w:tabs>
        <w:tab w:val="left" w:pos="540"/>
      </w:tabs>
      <w:spacing w:after="0"/>
      <w:jc w:val="left"/>
    </w:pPr>
    <w:rPr>
      <w:color w:val="000000"/>
    </w:rPr>
  </w:style>
  <w:style w:type="paragraph" w:customStyle="1" w:styleId="indentedtext">
    <w:name w:val="indented text"/>
    <w:basedOn w:val="BodyText1"/>
    <w:pPr>
      <w:widowControl/>
      <w:tabs>
        <w:tab w:val="left" w:pos="1620"/>
      </w:tabs>
      <w:ind w:left="540" w:firstLine="540"/>
      <w:jc w:val="both"/>
    </w:pPr>
  </w:style>
  <w:style w:type="paragraph" w:customStyle="1" w:styleId="rev">
    <w:name w:val="rev"/>
    <w:basedOn w:val="Normal"/>
    <w:pPr>
      <w:widowControl/>
      <w:spacing w:after="240"/>
      <w:jc w:val="right"/>
    </w:pPr>
    <w:rPr>
      <w:b/>
      <w:vanish/>
      <w:color w:val="FF0000"/>
      <w:sz w:val="12"/>
    </w:rPr>
  </w:style>
  <w:style w:type="paragraph" w:customStyle="1" w:styleId="FooterSBILogo1">
    <w:name w:val="Footer SBILogo1"/>
    <w:next w:val="FooterSBILogo2"/>
    <w:pPr>
      <w:ind w:left="-1080" w:right="7733"/>
    </w:pPr>
    <w:rPr>
      <w:rFonts w:ascii="Helvetica-Black" w:hAnsi="Helvetica-Black"/>
      <w:color w:val="808080"/>
      <w:sz w:val="12"/>
    </w:rPr>
  </w:style>
  <w:style w:type="paragraph" w:customStyle="1" w:styleId="FooterSBILogo2">
    <w:name w:val="Footer SBILogo2"/>
    <w:basedOn w:val="Normal"/>
    <w:pPr>
      <w:ind w:left="-835" w:right="6869"/>
    </w:pPr>
    <w:rPr>
      <w:b/>
      <w:smallCaps/>
      <w:color w:val="000080"/>
      <w:spacing w:val="-10"/>
      <w:sz w:val="24"/>
      <w:u w:val="single"/>
    </w:rPr>
  </w:style>
  <w:style w:type="paragraph" w:customStyle="1" w:styleId="indentedtext2">
    <w:name w:val="indented text2"/>
    <w:basedOn w:val="NormalIndent"/>
    <w:pPr>
      <w:widowControl/>
      <w:spacing w:after="240"/>
      <w:ind w:left="1620"/>
      <w:jc w:val="both"/>
    </w:pPr>
  </w:style>
  <w:style w:type="paragraph" w:customStyle="1" w:styleId="indem">
    <w:name w:val="indem"/>
    <w:basedOn w:val="Normal"/>
    <w:pPr>
      <w:widowControl/>
      <w:tabs>
        <w:tab w:val="left" w:pos="720"/>
        <w:tab w:val="left" w:pos="5760"/>
        <w:tab w:val="left" w:pos="6300"/>
      </w:tabs>
      <w:spacing w:after="240"/>
      <w:jc w:val="both"/>
    </w:pPr>
    <w:rPr>
      <w:sz w:val="18"/>
    </w:rPr>
  </w:style>
  <w:style w:type="paragraph" w:customStyle="1" w:styleId="sign2">
    <w:name w:val="sign2"/>
    <w:basedOn w:val="Normal"/>
    <w:pPr>
      <w:widowControl/>
      <w:tabs>
        <w:tab w:val="left" w:pos="4320"/>
        <w:tab w:val="left" w:pos="5040"/>
        <w:tab w:val="left" w:pos="5940"/>
      </w:tabs>
      <w:spacing w:line="240" w:lineRule="atLeast"/>
      <w:jc w:val="both"/>
    </w:pPr>
    <w:rPr>
      <w:sz w:val="18"/>
    </w:rPr>
  </w:style>
  <w:style w:type="paragraph" w:customStyle="1" w:styleId="hidden">
    <w:name w:val="hidden"/>
    <w:basedOn w:val="Normal"/>
    <w:pPr>
      <w:widowControl/>
      <w:spacing w:after="480"/>
      <w:jc w:val="center"/>
    </w:pPr>
    <w:rPr>
      <w:b/>
      <w:vanish/>
      <w:color w:val="FF0000"/>
      <w:sz w:val="24"/>
    </w:rPr>
  </w:style>
  <w:style w:type="paragraph" w:customStyle="1" w:styleId="sign">
    <w:name w:val="sign"/>
    <w:basedOn w:val="Normal"/>
    <w:pPr>
      <w:widowControl/>
      <w:spacing w:after="960"/>
      <w:ind w:left="4320"/>
    </w:pPr>
  </w:style>
  <w:style w:type="paragraph" w:customStyle="1" w:styleId="rev1">
    <w:name w:val="rev1"/>
    <w:basedOn w:val="rev"/>
    <w:rPr>
      <w:sz w:val="20"/>
    </w:rPr>
  </w:style>
  <w:style w:type="paragraph" w:customStyle="1" w:styleId="text">
    <w:name w:val="text"/>
    <w:basedOn w:val="Normal"/>
    <w:pPr>
      <w:widowControl/>
      <w:tabs>
        <w:tab w:val="left" w:pos="-1440"/>
        <w:tab w:val="left" w:pos="-720"/>
      </w:tabs>
      <w:suppressAutoHyphens/>
      <w:spacing w:after="220"/>
      <w:jc w:val="both"/>
    </w:pPr>
  </w:style>
  <w:style w:type="paragraph" w:customStyle="1" w:styleId="line1">
    <w:name w:val="line1"/>
    <w:basedOn w:val="Normal"/>
    <w:pPr>
      <w:jc w:val="center"/>
    </w:pPr>
    <w:rPr>
      <w:b/>
    </w:rPr>
  </w:style>
  <w:style w:type="paragraph" w:styleId="BodyText2">
    <w:name w:val="Body Text 2"/>
    <w:basedOn w:val="Normal"/>
    <w:semiHidden/>
    <w:pPr>
      <w:spacing w:after="240"/>
    </w:pPr>
    <w:rPr>
      <w:color w:val="FF0000"/>
      <w:sz w:val="28"/>
    </w:rPr>
  </w:style>
  <w:style w:type="paragraph" w:styleId="EndnoteText">
    <w:name w:val="endnote text"/>
    <w:basedOn w:val="Normal"/>
    <w:semiHidden/>
    <w:pPr>
      <w:widowControl/>
      <w:jc w:val="both"/>
    </w:pPr>
    <w:rPr>
      <w:rFonts w:ascii="Palatino" w:hAnsi="Palatino"/>
      <w:sz w:val="20"/>
    </w:rPr>
  </w:style>
  <w:style w:type="paragraph" w:customStyle="1" w:styleId="-PAGE-">
    <w:name w:val="- PAGE -"/>
  </w:style>
  <w:style w:type="paragraph" w:customStyle="1" w:styleId="PageXofY">
    <w:name w:val="Page X of Y"/>
  </w:style>
  <w:style w:type="paragraph" w:customStyle="1" w:styleId="Createdby">
    <w:name w:val="Created by"/>
  </w:style>
  <w:style w:type="paragraph" w:customStyle="1" w:styleId="Createdon">
    <w:name w:val="Created on"/>
  </w:style>
  <w:style w:type="paragraph" w:customStyle="1" w:styleId="Lastprinted">
    <w:name w:val="Last printed"/>
  </w:style>
  <w:style w:type="paragraph" w:customStyle="1" w:styleId="Lastsavedby">
    <w:name w:val="Last saved by"/>
  </w:style>
  <w:style w:type="paragraph" w:customStyle="1" w:styleId="Filename">
    <w:name w:val="Filename"/>
  </w:style>
  <w:style w:type="paragraph" w:customStyle="1" w:styleId="Filenameandpath">
    <w:name w:val="Filename and path"/>
  </w:style>
  <w:style w:type="paragraph" w:customStyle="1" w:styleId="AuthorPageDate">
    <w:name w:val="Author  Page #  Date"/>
  </w:style>
  <w:style w:type="paragraph" w:customStyle="1" w:styleId="ConfidentialPageDate">
    <w:name w:val="Confidential  Page #  Date"/>
  </w:style>
  <w:style w:type="paragraph" w:customStyle="1" w:styleId="Topic">
    <w:name w:val="Topic"/>
    <w:basedOn w:val="Normal"/>
    <w:pPr>
      <w:widowControl/>
      <w:suppressAutoHyphens/>
      <w:spacing w:before="72" w:after="72"/>
      <w:ind w:left="187" w:hanging="187"/>
    </w:pPr>
    <w:rPr>
      <w:rFonts w:ascii="Arial" w:hAnsi="Arial"/>
      <w:snapToGrid w:val="0"/>
    </w:rPr>
  </w:style>
  <w:style w:type="paragraph" w:customStyle="1" w:styleId="Times">
    <w:name w:val="Times"/>
    <w:basedOn w:val="Normal"/>
    <w:pPr>
      <w:widowControl/>
      <w:spacing w:before="72" w:after="72"/>
      <w:jc w:val="center"/>
    </w:pPr>
    <w:rPr>
      <w:rFonts w:ascii="Arial" w:hAnsi="Arial"/>
      <w:snapToGrid w:val="0"/>
    </w:rPr>
  </w:style>
  <w:style w:type="paragraph" w:customStyle="1" w:styleId="Details">
    <w:name w:val="Details"/>
    <w:basedOn w:val="Normal"/>
    <w:pPr>
      <w:widowControl/>
      <w:spacing w:before="72" w:after="72"/>
    </w:pPr>
    <w:rPr>
      <w:rFonts w:ascii="Arial" w:hAnsi="Arial"/>
      <w:snapToGrid w:val="0"/>
      <w:sz w:val="20"/>
    </w:rPr>
  </w:style>
  <w:style w:type="paragraph" w:customStyle="1" w:styleId="Body">
    <w:name w:val="Body"/>
    <w:basedOn w:val="Normal"/>
    <w:pPr>
      <w:widowControl/>
      <w:spacing w:after="140" w:line="290" w:lineRule="auto"/>
      <w:jc w:val="both"/>
    </w:pPr>
    <w:rPr>
      <w:rFonts w:ascii="Arial" w:eastAsia="PMingLiU" w:hAnsi="Arial"/>
      <w:kern w:val="20"/>
      <w:sz w:val="20"/>
      <w:szCs w:val="24"/>
      <w:lang w:val="en-GB"/>
    </w:rPr>
  </w:style>
  <w:style w:type="paragraph" w:customStyle="1" w:styleId="roman1">
    <w:name w:val="roman 1"/>
    <w:basedOn w:val="Normal"/>
    <w:pPr>
      <w:widowControl/>
      <w:numPr>
        <w:numId w:val="29"/>
      </w:numPr>
      <w:tabs>
        <w:tab w:val="left" w:pos="567"/>
      </w:tabs>
      <w:spacing w:after="140" w:line="290" w:lineRule="auto"/>
      <w:jc w:val="both"/>
    </w:pPr>
    <w:rPr>
      <w:rFonts w:ascii="Arial" w:eastAsia="PMingLiU" w:hAnsi="Arial"/>
      <w:kern w:val="20"/>
      <w:sz w:val="20"/>
      <w:lang w:val="en-GB"/>
    </w:rPr>
  </w:style>
  <w:style w:type="paragraph" w:styleId="BodyTextIndent">
    <w:name w:val="Body Text Indent"/>
    <w:basedOn w:val="Normal"/>
    <w:semiHidden/>
    <w:pPr>
      <w:keepNext/>
      <w:keepLines/>
      <w:tabs>
        <w:tab w:val="left" w:pos="-180"/>
      </w:tabs>
      <w:spacing w:after="240"/>
      <w:ind w:firstLine="1152"/>
      <w:jc w:val="both"/>
    </w:pPr>
    <w:rPr>
      <w:color w:val="000000"/>
    </w:rPr>
  </w:style>
  <w:style w:type="paragraph" w:styleId="BalloonText">
    <w:name w:val="Balloon Text"/>
    <w:basedOn w:val="Normal"/>
    <w:link w:val="BalloonTextChar"/>
    <w:uiPriority w:val="99"/>
    <w:semiHidden/>
    <w:unhideWhenUsed/>
    <w:rsid w:val="00334C5E"/>
    <w:rPr>
      <w:rFonts w:ascii="Tahoma" w:hAnsi="Tahoma" w:cs="Tahoma"/>
      <w:sz w:val="16"/>
      <w:szCs w:val="16"/>
    </w:rPr>
  </w:style>
  <w:style w:type="character" w:customStyle="1" w:styleId="BalloonTextChar">
    <w:name w:val="Balloon Text Char"/>
    <w:link w:val="BalloonText"/>
    <w:uiPriority w:val="99"/>
    <w:semiHidden/>
    <w:rsid w:val="00334C5E"/>
    <w:rPr>
      <w:rFonts w:ascii="Tahoma" w:hAnsi="Tahoma" w:cs="Tahoma"/>
      <w:sz w:val="16"/>
      <w:szCs w:val="16"/>
      <w:lang w:eastAsia="en-US"/>
    </w:rPr>
  </w:style>
  <w:style w:type="paragraph" w:styleId="BodyTextIndent2">
    <w:name w:val="Body Text Indent 2"/>
    <w:basedOn w:val="Normal"/>
    <w:link w:val="BodyTextIndent2Char"/>
    <w:uiPriority w:val="99"/>
    <w:semiHidden/>
    <w:unhideWhenUsed/>
    <w:rsid w:val="00334C5E"/>
    <w:pPr>
      <w:spacing w:after="120" w:line="480" w:lineRule="auto"/>
      <w:ind w:left="360"/>
    </w:pPr>
  </w:style>
  <w:style w:type="character" w:customStyle="1" w:styleId="BodyTextIndent2Char">
    <w:name w:val="Body Text Indent 2 Char"/>
    <w:link w:val="BodyTextIndent2"/>
    <w:uiPriority w:val="99"/>
    <w:semiHidden/>
    <w:rsid w:val="00334C5E"/>
    <w:rPr>
      <w:sz w:val="22"/>
      <w:lang w:eastAsia="en-US"/>
    </w:rPr>
  </w:style>
  <w:style w:type="paragraph" w:styleId="BodyText3">
    <w:name w:val="Body Text 3"/>
    <w:basedOn w:val="Normal"/>
    <w:link w:val="BodyText3Char"/>
    <w:uiPriority w:val="99"/>
    <w:unhideWhenUsed/>
    <w:rsid w:val="00334C5E"/>
    <w:pPr>
      <w:spacing w:after="120"/>
    </w:pPr>
    <w:rPr>
      <w:sz w:val="16"/>
      <w:szCs w:val="16"/>
    </w:rPr>
  </w:style>
  <w:style w:type="character" w:customStyle="1" w:styleId="BodyText3Char">
    <w:name w:val="Body Text 3 Char"/>
    <w:link w:val="BodyText3"/>
    <w:uiPriority w:val="99"/>
    <w:rsid w:val="00334C5E"/>
    <w:rPr>
      <w:sz w:val="16"/>
      <w:szCs w:val="16"/>
      <w:lang w:eastAsia="en-US"/>
    </w:rPr>
  </w:style>
  <w:style w:type="paragraph" w:styleId="FootnoteText">
    <w:name w:val="footnote text"/>
    <w:basedOn w:val="Normal"/>
    <w:link w:val="FootnoteTextChar"/>
    <w:semiHidden/>
    <w:unhideWhenUsed/>
    <w:rsid w:val="00A90827"/>
    <w:rPr>
      <w:sz w:val="20"/>
    </w:rPr>
  </w:style>
  <w:style w:type="character" w:customStyle="1" w:styleId="FootnoteTextChar">
    <w:name w:val="Footnote Text Char"/>
    <w:basedOn w:val="DefaultParagraphFont"/>
    <w:link w:val="FootnoteText"/>
    <w:semiHidden/>
    <w:rsid w:val="00A90827"/>
  </w:style>
  <w:style w:type="paragraph" w:styleId="NormalWeb">
    <w:name w:val="Normal (Web)"/>
    <w:basedOn w:val="Normal"/>
    <w:uiPriority w:val="99"/>
    <w:semiHidden/>
    <w:unhideWhenUsed/>
    <w:rsid w:val="00D96173"/>
    <w:pPr>
      <w:widowControl/>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3D4FDD"/>
    <w:rPr>
      <w:b/>
      <w:bCs/>
    </w:rPr>
  </w:style>
  <w:style w:type="character" w:customStyle="1" w:styleId="CommentTextChar">
    <w:name w:val="Comment Text Char"/>
    <w:basedOn w:val="DefaultParagraphFont"/>
    <w:link w:val="CommentText"/>
    <w:semiHidden/>
    <w:rsid w:val="003D4FDD"/>
  </w:style>
  <w:style w:type="character" w:customStyle="1" w:styleId="CommentSubjectChar">
    <w:name w:val="Comment Subject Char"/>
    <w:link w:val="CommentSubject"/>
    <w:uiPriority w:val="99"/>
    <w:semiHidden/>
    <w:rsid w:val="003D4FDD"/>
    <w:rPr>
      <w:b/>
      <w:bCs/>
    </w:rPr>
  </w:style>
  <w:style w:type="paragraph" w:styleId="ListParagraph">
    <w:name w:val="List Paragraph"/>
    <w:basedOn w:val="Normal"/>
    <w:uiPriority w:val="34"/>
    <w:qFormat/>
    <w:rsid w:val="00E647ED"/>
    <w:pPr>
      <w:ind w:left="720"/>
    </w:pPr>
  </w:style>
  <w:style w:type="table" w:styleId="TableGrid">
    <w:name w:val="Table Grid"/>
    <w:basedOn w:val="TableNormal"/>
    <w:uiPriority w:val="59"/>
    <w:rsid w:val="00486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5327"/>
    <w:rPr>
      <w:sz w:val="22"/>
    </w:rPr>
  </w:style>
  <w:style w:type="character" w:styleId="Hyperlink">
    <w:name w:val="Hyperlink"/>
    <w:basedOn w:val="DefaultParagraphFont"/>
    <w:uiPriority w:val="99"/>
    <w:unhideWhenUsed/>
    <w:rsid w:val="00136579"/>
    <w:rPr>
      <w:color w:val="0563C1" w:themeColor="hyperlink"/>
      <w:u w:val="single"/>
    </w:rPr>
  </w:style>
  <w:style w:type="character" w:styleId="UnresolvedMention">
    <w:name w:val="Unresolved Mention"/>
    <w:basedOn w:val="DefaultParagraphFont"/>
    <w:uiPriority w:val="99"/>
    <w:semiHidden/>
    <w:unhideWhenUsed/>
    <w:rsid w:val="00136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464498">
      <w:bodyDiv w:val="1"/>
      <w:marLeft w:val="0"/>
      <w:marRight w:val="0"/>
      <w:marTop w:val="0"/>
      <w:marBottom w:val="0"/>
      <w:divBdr>
        <w:top w:val="none" w:sz="0" w:space="0" w:color="auto"/>
        <w:left w:val="none" w:sz="0" w:space="0" w:color="auto"/>
        <w:bottom w:val="none" w:sz="0" w:space="0" w:color="auto"/>
        <w:right w:val="none" w:sz="0" w:space="0" w:color="auto"/>
      </w:divBdr>
    </w:div>
    <w:div w:id="463280637">
      <w:bodyDiv w:val="1"/>
      <w:marLeft w:val="0"/>
      <w:marRight w:val="0"/>
      <w:marTop w:val="0"/>
      <w:marBottom w:val="0"/>
      <w:divBdr>
        <w:top w:val="none" w:sz="0" w:space="0" w:color="auto"/>
        <w:left w:val="none" w:sz="0" w:space="0" w:color="auto"/>
        <w:bottom w:val="none" w:sz="0" w:space="0" w:color="auto"/>
        <w:right w:val="none" w:sz="0" w:space="0" w:color="auto"/>
      </w:divBdr>
    </w:div>
    <w:div w:id="936209771">
      <w:bodyDiv w:val="1"/>
      <w:marLeft w:val="0"/>
      <w:marRight w:val="0"/>
      <w:marTop w:val="0"/>
      <w:marBottom w:val="0"/>
      <w:divBdr>
        <w:top w:val="none" w:sz="0" w:space="0" w:color="auto"/>
        <w:left w:val="none" w:sz="0" w:space="0" w:color="auto"/>
        <w:bottom w:val="none" w:sz="0" w:space="0" w:color="auto"/>
        <w:right w:val="none" w:sz="0" w:space="0" w:color="auto"/>
      </w:divBdr>
    </w:div>
    <w:div w:id="1171528932">
      <w:bodyDiv w:val="1"/>
      <w:marLeft w:val="0"/>
      <w:marRight w:val="0"/>
      <w:marTop w:val="0"/>
      <w:marBottom w:val="0"/>
      <w:divBdr>
        <w:top w:val="none" w:sz="0" w:space="0" w:color="auto"/>
        <w:left w:val="none" w:sz="0" w:space="0" w:color="auto"/>
        <w:bottom w:val="none" w:sz="0" w:space="0" w:color="auto"/>
        <w:right w:val="none" w:sz="0" w:space="0" w:color="auto"/>
      </w:divBdr>
    </w:div>
    <w:div w:id="1213804706">
      <w:bodyDiv w:val="1"/>
      <w:marLeft w:val="0"/>
      <w:marRight w:val="0"/>
      <w:marTop w:val="0"/>
      <w:marBottom w:val="0"/>
      <w:divBdr>
        <w:top w:val="none" w:sz="0" w:space="0" w:color="auto"/>
        <w:left w:val="none" w:sz="0" w:space="0" w:color="auto"/>
        <w:bottom w:val="none" w:sz="0" w:space="0" w:color="auto"/>
        <w:right w:val="none" w:sz="0" w:space="0" w:color="auto"/>
      </w:divBdr>
      <w:divsChild>
        <w:div w:id="796996679">
          <w:marLeft w:val="0"/>
          <w:marRight w:val="0"/>
          <w:marTop w:val="0"/>
          <w:marBottom w:val="0"/>
          <w:divBdr>
            <w:top w:val="none" w:sz="0" w:space="0" w:color="auto"/>
            <w:left w:val="none" w:sz="0" w:space="0" w:color="auto"/>
            <w:bottom w:val="none" w:sz="0" w:space="0" w:color="auto"/>
            <w:right w:val="none" w:sz="0" w:space="0" w:color="auto"/>
          </w:divBdr>
        </w:div>
        <w:div w:id="353118893">
          <w:marLeft w:val="0"/>
          <w:marRight w:val="0"/>
          <w:marTop w:val="0"/>
          <w:marBottom w:val="0"/>
          <w:divBdr>
            <w:top w:val="none" w:sz="0" w:space="0" w:color="auto"/>
            <w:left w:val="none" w:sz="0" w:space="0" w:color="auto"/>
            <w:bottom w:val="none" w:sz="0" w:space="0" w:color="auto"/>
            <w:right w:val="none" w:sz="0" w:space="0" w:color="auto"/>
          </w:divBdr>
        </w:div>
      </w:divsChild>
    </w:div>
    <w:div w:id="1377704267">
      <w:bodyDiv w:val="1"/>
      <w:marLeft w:val="0"/>
      <w:marRight w:val="0"/>
      <w:marTop w:val="0"/>
      <w:marBottom w:val="0"/>
      <w:divBdr>
        <w:top w:val="none" w:sz="0" w:space="0" w:color="auto"/>
        <w:left w:val="none" w:sz="0" w:space="0" w:color="auto"/>
        <w:bottom w:val="none" w:sz="0" w:space="0" w:color="auto"/>
        <w:right w:val="none" w:sz="0" w:space="0" w:color="auto"/>
      </w:divBdr>
    </w:div>
    <w:div w:id="1444376459">
      <w:bodyDiv w:val="1"/>
      <w:marLeft w:val="0"/>
      <w:marRight w:val="0"/>
      <w:marTop w:val="0"/>
      <w:marBottom w:val="0"/>
      <w:divBdr>
        <w:top w:val="none" w:sz="0" w:space="0" w:color="auto"/>
        <w:left w:val="none" w:sz="0" w:space="0" w:color="auto"/>
        <w:bottom w:val="none" w:sz="0" w:space="0" w:color="auto"/>
        <w:right w:val="none" w:sz="0" w:space="0" w:color="auto"/>
      </w:divBdr>
    </w:div>
    <w:div w:id="1665426028">
      <w:bodyDiv w:val="1"/>
      <w:marLeft w:val="0"/>
      <w:marRight w:val="0"/>
      <w:marTop w:val="0"/>
      <w:marBottom w:val="0"/>
      <w:divBdr>
        <w:top w:val="none" w:sz="0" w:space="0" w:color="auto"/>
        <w:left w:val="none" w:sz="0" w:space="0" w:color="auto"/>
        <w:bottom w:val="none" w:sz="0" w:space="0" w:color="auto"/>
        <w:right w:val="none" w:sz="0" w:space="0" w:color="auto"/>
      </w:divBdr>
    </w:div>
    <w:div w:id="1855606959">
      <w:bodyDiv w:val="1"/>
      <w:marLeft w:val="0"/>
      <w:marRight w:val="0"/>
      <w:marTop w:val="0"/>
      <w:marBottom w:val="0"/>
      <w:divBdr>
        <w:top w:val="none" w:sz="0" w:space="0" w:color="auto"/>
        <w:left w:val="none" w:sz="0" w:space="0" w:color="auto"/>
        <w:bottom w:val="none" w:sz="0" w:space="0" w:color="auto"/>
        <w:right w:val="none" w:sz="0" w:space="0" w:color="auto"/>
      </w:divBdr>
    </w:div>
    <w:div w:id="1974284307">
      <w:bodyDiv w:val="1"/>
      <w:marLeft w:val="0"/>
      <w:marRight w:val="0"/>
      <w:marTop w:val="0"/>
      <w:marBottom w:val="0"/>
      <w:divBdr>
        <w:top w:val="none" w:sz="0" w:space="0" w:color="auto"/>
        <w:left w:val="none" w:sz="0" w:space="0" w:color="auto"/>
        <w:bottom w:val="none" w:sz="0" w:space="0" w:color="auto"/>
        <w:right w:val="none" w:sz="0" w:space="0" w:color="auto"/>
      </w:divBdr>
    </w:div>
    <w:div w:id="2082480941">
      <w:bodyDiv w:val="1"/>
      <w:marLeft w:val="0"/>
      <w:marRight w:val="0"/>
      <w:marTop w:val="0"/>
      <w:marBottom w:val="0"/>
      <w:divBdr>
        <w:top w:val="none" w:sz="0" w:space="0" w:color="auto"/>
        <w:left w:val="none" w:sz="0" w:space="0" w:color="auto"/>
        <w:bottom w:val="none" w:sz="0" w:space="0" w:color="auto"/>
        <w:right w:val="none" w:sz="0" w:space="0" w:color="auto"/>
      </w:divBdr>
    </w:div>
    <w:div w:id="2089107788">
      <w:bodyDiv w:val="1"/>
      <w:marLeft w:val="0"/>
      <w:marRight w:val="0"/>
      <w:marTop w:val="0"/>
      <w:marBottom w:val="0"/>
      <w:divBdr>
        <w:top w:val="none" w:sz="0" w:space="0" w:color="auto"/>
        <w:left w:val="none" w:sz="0" w:space="0" w:color="auto"/>
        <w:bottom w:val="none" w:sz="0" w:space="0" w:color="auto"/>
        <w:right w:val="none" w:sz="0" w:space="0" w:color="auto"/>
      </w:divBdr>
      <w:divsChild>
        <w:div w:id="995257515">
          <w:marLeft w:val="0"/>
          <w:marRight w:val="0"/>
          <w:marTop w:val="0"/>
          <w:marBottom w:val="0"/>
          <w:divBdr>
            <w:top w:val="none" w:sz="0" w:space="0" w:color="auto"/>
            <w:left w:val="none" w:sz="0" w:space="0" w:color="auto"/>
            <w:bottom w:val="none" w:sz="0" w:space="0" w:color="auto"/>
            <w:right w:val="none" w:sz="0" w:space="0" w:color="auto"/>
          </w:divBdr>
        </w:div>
        <w:div w:id="2133622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B7867-A502-46EA-A68C-091CE55A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3522</Words>
  <Characters>18637</Characters>
  <Application>Microsoft Office Word</Application>
  <DocSecurity>0</DocSecurity>
  <Lines>300</Lines>
  <Paragraphs>89</Paragraphs>
  <ScaleCrop>false</ScaleCrop>
  <HeadingPairs>
    <vt:vector size="2" baseType="variant">
      <vt:variant>
        <vt:lpstr>Title</vt:lpstr>
      </vt:variant>
      <vt:variant>
        <vt:i4>1</vt:i4>
      </vt:variant>
    </vt:vector>
  </HeadingPairs>
  <TitlesOfParts>
    <vt:vector size="1" baseType="lpstr">
      <vt:lpstr>Securities Underwriting Mandate Ltr Global Model</vt:lpstr>
    </vt:vector>
  </TitlesOfParts>
  <Company>Salomon Brothers Inc</Company>
  <LinksUpToDate>false</LinksUpToDate>
  <CharactersWithSpaces>22070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Securities Underwriting Mandate Ltr Global Model</dc:title>
  <dc:subject/>
  <dc:creator>Deborah Y. Wolf</dc:creator>
  <cp:keywords/>
  <dc:description>Loads other code modules, such as Macrophile+, for entitled users.</dc:description>
  <cp:lastModifiedBy>Xu, Pipper</cp:lastModifiedBy>
  <cp:revision>4</cp:revision>
  <cp:lastPrinted>2022-05-31T01:49:00Z</cp:lastPrinted>
  <dcterms:created xsi:type="dcterms:W3CDTF">2023-02-14T04:33:00Z</dcterms:created>
  <dcterms:modified xsi:type="dcterms:W3CDTF">2023-03-21T01:59:00Z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HID">
    <vt:lpwstr/>
  </property>
  <property fmtid="{D5CDD505-2E9C-101B-9397-08002B2CF9AE}" pid="3" name="DocType">
    <vt:lpwstr/>
  </property>
  <property fmtid="{D5CDD505-2E9C-101B-9397-08002B2CF9AE}" pid="4" name="Regions">
    <vt:lpwstr>2;#Asia Pacific</vt:lpwstr>
  </property>
  <property fmtid="{D5CDD505-2E9C-101B-9397-08002B2CF9AE}" pid="5" name="Taxonomy">
    <vt:lpwstr/>
  </property>
  <property fmtid="{D5CDD505-2E9C-101B-9397-08002B2CF9AE}" pid="6" name="ShowInMostRecent">
    <vt:lpwstr>0</vt:lpwstr>
  </property>
  <property fmtid="{D5CDD505-2E9C-101B-9397-08002B2CF9AE}" pid="7" name="TitusGUID">
    <vt:lpwstr>f3e60114-91aa-49be-b3c9-257d6a45ab09</vt:lpwstr>
  </property>
  <property fmtid="{D5CDD505-2E9C-101B-9397-08002B2CF9AE}" pid="8" name="_NewReviewCycle">
    <vt:lpwstr/>
  </property>
  <property fmtid="{D5CDD505-2E9C-101B-9397-08002B2CF9AE}" pid="9" name="BarclaysDC">
    <vt:lpwstr>Unrestricted</vt:lpwstr>
  </property>
  <property fmtid="{D5CDD505-2E9C-101B-9397-08002B2CF9AE}" pid="10" name="MSIP_Label_dcbcefa9-77bd-43cf-a0ff-5e7ba098b1f9_Enabled">
    <vt:lpwstr>True</vt:lpwstr>
  </property>
  <property fmtid="{D5CDD505-2E9C-101B-9397-08002B2CF9AE}" pid="11" name="MSIP_Label_dcbcefa9-77bd-43cf-a0ff-5e7ba098b1f9_SiteId">
    <vt:lpwstr>d0df3d96-c065-41c3-8c0b-5dcaa460ec33</vt:lpwstr>
  </property>
  <property fmtid="{D5CDD505-2E9C-101B-9397-08002B2CF9AE}" pid="12" name="MSIP_Label_dcbcefa9-77bd-43cf-a0ff-5e7ba098b1f9_Owner">
    <vt:lpwstr>tom.hall@credit-suisse.com</vt:lpwstr>
  </property>
  <property fmtid="{D5CDD505-2E9C-101B-9397-08002B2CF9AE}" pid="13" name="MSIP_Label_dcbcefa9-77bd-43cf-a0ff-5e7ba098b1f9_SetDate">
    <vt:lpwstr>2023-02-03T11:35:01.3662941Z</vt:lpwstr>
  </property>
  <property fmtid="{D5CDD505-2E9C-101B-9397-08002B2CF9AE}" pid="14" name="MSIP_Label_dcbcefa9-77bd-43cf-a0ff-5e7ba098b1f9_Name">
    <vt:lpwstr>Confidential</vt:lpwstr>
  </property>
  <property fmtid="{D5CDD505-2E9C-101B-9397-08002B2CF9AE}" pid="15" name="MSIP_Label_dcbcefa9-77bd-43cf-a0ff-5e7ba098b1f9_Application">
    <vt:lpwstr>Microsoft Azure Information Protection</vt:lpwstr>
  </property>
  <property fmtid="{D5CDD505-2E9C-101B-9397-08002B2CF9AE}" pid="16" name="MSIP_Label_dcbcefa9-77bd-43cf-a0ff-5e7ba098b1f9_ActionId">
    <vt:lpwstr>46370f28-5a2c-4914-b85b-ee71291f2e35</vt:lpwstr>
  </property>
  <property fmtid="{D5CDD505-2E9C-101B-9397-08002B2CF9AE}" pid="17" name="MSIP_Label_dcbcefa9-77bd-43cf-a0ff-5e7ba098b1f9_Extended_MSFT_Method">
    <vt:lpwstr>Manual</vt:lpwstr>
  </property>
  <property fmtid="{D5CDD505-2E9C-101B-9397-08002B2CF9AE}" pid="18" name="MSIP_Label_dd3979fe-e8b4-4460-a1ce-38c18d103215_Enabled">
    <vt:lpwstr>True</vt:lpwstr>
  </property>
  <property fmtid="{D5CDD505-2E9C-101B-9397-08002B2CF9AE}" pid="19" name="MSIP_Label_dd3979fe-e8b4-4460-a1ce-38c18d103215_SiteId">
    <vt:lpwstr>d0df3d96-c065-41c3-8c0b-5dcaa460ec33</vt:lpwstr>
  </property>
  <property fmtid="{D5CDD505-2E9C-101B-9397-08002B2CF9AE}" pid="20" name="MSIP_Label_dd3979fe-e8b4-4460-a1ce-38c18d103215_Owner">
    <vt:lpwstr>tom.hall@credit-suisse.com</vt:lpwstr>
  </property>
  <property fmtid="{D5CDD505-2E9C-101B-9397-08002B2CF9AE}" pid="21" name="MSIP_Label_dd3979fe-e8b4-4460-a1ce-38c18d103215_SetDate">
    <vt:lpwstr>2023-02-03T11:35:01.3662941Z</vt:lpwstr>
  </property>
  <property fmtid="{D5CDD505-2E9C-101B-9397-08002B2CF9AE}" pid="22" name="MSIP_Label_dd3979fe-e8b4-4460-a1ce-38c18d103215_Name">
    <vt:lpwstr>Confidential</vt:lpwstr>
  </property>
  <property fmtid="{D5CDD505-2E9C-101B-9397-08002B2CF9AE}" pid="23" name="MSIP_Label_dd3979fe-e8b4-4460-a1ce-38c18d103215_Application">
    <vt:lpwstr>Microsoft Azure Information Protection</vt:lpwstr>
  </property>
  <property fmtid="{D5CDD505-2E9C-101B-9397-08002B2CF9AE}" pid="24" name="MSIP_Label_dd3979fe-e8b4-4460-a1ce-38c18d103215_ActionId">
    <vt:lpwstr>46370f28-5a2c-4914-b85b-ee71291f2e35</vt:lpwstr>
  </property>
  <property fmtid="{D5CDD505-2E9C-101B-9397-08002B2CF9AE}" pid="25" name="MSIP_Label_dd3979fe-e8b4-4460-a1ce-38c18d103215_Parent">
    <vt:lpwstr>dcbcefa9-77bd-43cf-a0ff-5e7ba098b1f9</vt:lpwstr>
  </property>
  <property fmtid="{D5CDD505-2E9C-101B-9397-08002B2CF9AE}" pid="26" name="MSIP_Label_dd3979fe-e8b4-4460-a1ce-38c18d103215_Extended_MSFT_Method">
    <vt:lpwstr>Manual</vt:lpwstr>
  </property>
  <property fmtid="{D5CDD505-2E9C-101B-9397-08002B2CF9AE}" pid="27" name="MSIP_Label_c754cbb2-29ed-4ffe-af90-a08465e0dd2c_Enabled">
    <vt:lpwstr>True</vt:lpwstr>
  </property>
  <property fmtid="{D5CDD505-2E9C-101B-9397-08002B2CF9AE}" pid="28" name="MSIP_Label_c754cbb2-29ed-4ffe-af90-a08465e0dd2c_SiteId">
    <vt:lpwstr>c4b62f1d-01e0-4107-a0cc-5ac886858b23</vt:lpwstr>
  </property>
  <property fmtid="{D5CDD505-2E9C-101B-9397-08002B2CF9AE}" pid="29" name="MSIP_Label_c754cbb2-29ed-4ffe-af90-a08465e0dd2c_SetDate">
    <vt:lpwstr>2022-06-23T10:15:25Z</vt:lpwstr>
  </property>
  <property fmtid="{D5CDD505-2E9C-101B-9397-08002B2CF9AE}" pid="30" name="MSIP_Label_c754cbb2-29ed-4ffe-af90-a08465e0dd2c_Name">
    <vt:lpwstr>Unrestricted</vt:lpwstr>
  </property>
  <property fmtid="{D5CDD505-2E9C-101B-9397-08002B2CF9AE}" pid="31" name="MSIP_Label_c754cbb2-29ed-4ffe-af90-a08465e0dd2c_ActionId">
    <vt:lpwstr>ba6b2b3f-fcb9-4e1e-9f33-9c7005c0e035</vt:lpwstr>
  </property>
  <property fmtid="{D5CDD505-2E9C-101B-9397-08002B2CF9AE}" pid="32" name="MSIP_Label_c754cbb2-29ed-4ffe-af90-a08465e0dd2c_Extended_MSFT_Method">
    <vt:lpwstr>Manual</vt:lpwstr>
  </property>
  <property fmtid="{D5CDD505-2E9C-101B-9397-08002B2CF9AE}" pid="33" name="MSIP_Label_0133068c-5f3b-4062-adca-9b17e9c90306_Enabled">
    <vt:lpwstr>True</vt:lpwstr>
  </property>
  <property fmtid="{D5CDD505-2E9C-101B-9397-08002B2CF9AE}" pid="34" name="MSIP_Label_0133068c-5f3b-4062-adca-9b17e9c90306_SiteId">
    <vt:lpwstr>1771ae17-e764-4e0f-a476-d4184d79a5d9</vt:lpwstr>
  </property>
  <property fmtid="{D5CDD505-2E9C-101B-9397-08002B2CF9AE}" pid="35" name="MSIP_Label_0133068c-5f3b-4062-adca-9b17e9c90306_SetDate">
    <vt:lpwstr>2022-04-27T08:11:20Z</vt:lpwstr>
  </property>
  <property fmtid="{D5CDD505-2E9C-101B-9397-08002B2CF9AE}" pid="36" name="MSIP_Label_0133068c-5f3b-4062-adca-9b17e9c90306_Name">
    <vt:lpwstr>Confidential</vt:lpwstr>
  </property>
  <property fmtid="{D5CDD505-2E9C-101B-9397-08002B2CF9AE}" pid="37" name="MSIP_Label_0133068c-5f3b-4062-adca-9b17e9c90306_ActionId">
    <vt:lpwstr>96d83bde-8408-43bd-ba3e-7b56e780a8b7</vt:lpwstr>
  </property>
  <property fmtid="{D5CDD505-2E9C-101B-9397-08002B2CF9AE}" pid="38" name="MSIP_Label_0133068c-5f3b-4062-adca-9b17e9c90306_Extended_MSFT_Method">
    <vt:lpwstr>Manual</vt:lpwstr>
  </property>
  <property fmtid="{D5CDD505-2E9C-101B-9397-08002B2CF9AE}" pid="39" name="Sensitivity">
    <vt:lpwstr>Confidential Confidential Unrestricted Confidential</vt:lpwstr>
  </property>
  <property fmtid="{D5CDD505-2E9C-101B-9397-08002B2CF9AE}" pid="40" name="Classification">
    <vt:lpwstr>Unclassified</vt:lpwstr>
  </property>
</Properties>
</file>