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3.0 -->
  <w:body>
    <w:p w:rsidR="001C5107" w:rsidRPr="00A469A2" w:rsidP="00A469A2" w14:paraId="3A2F522C" w14:textId="607A2CB5">
      <w:pPr>
        <w:pStyle w:val="Title"/>
        <w:rPr>
          <w:snapToGrid w:val="0"/>
          <w:lang w:eastAsia="zh-TW"/>
        </w:rPr>
      </w:pPr>
      <w:r>
        <w:rPr>
          <w:snapToGrid w:val="0"/>
          <w:lang w:eastAsia="zh-TW"/>
        </w:rPr>
        <w:t>[</w:t>
      </w:r>
      <w:r w:rsidRPr="006018E5">
        <w:rPr>
          <w:snapToGrid w:val="0"/>
          <w:lang w:eastAsia="zh-TW"/>
        </w:rPr>
        <w:t>INSERT NAME OF ISSUER</w:t>
      </w:r>
      <w:r>
        <w:rPr>
          <w:snapToGrid w:val="0"/>
          <w:lang w:eastAsia="zh-TW"/>
        </w:rPr>
        <w:t>]</w:t>
      </w:r>
      <w:r w:rsidRPr="00A469A2" w:rsidR="00A52573">
        <w:rPr>
          <w:snapToGrid w:val="0"/>
          <w:lang w:eastAsia="zh-TW"/>
        </w:rPr>
        <w:t xml:space="preserve"> </w:t>
      </w:r>
    </w:p>
    <w:p w:rsidR="00A469A2" w:rsidP="00A469A2" w14:paraId="0DE404C3" w14:textId="2B82E43D">
      <w:pPr>
        <w:pStyle w:val="Title"/>
        <w:rPr>
          <w:snapToGrid w:val="0"/>
        </w:rPr>
      </w:pPr>
      <w:r>
        <w:rPr>
          <w:snapToGrid w:val="0"/>
          <w:lang w:eastAsia="zh-CN"/>
        </w:rPr>
        <w:t>[</w:t>
      </w:r>
      <w:r w:rsidRPr="006018E5" w:rsidR="006018E5">
        <w:rPr>
          <w:snapToGrid w:val="0"/>
          <w:lang w:eastAsia="zh-CN"/>
        </w:rPr>
        <w:t>I</w:t>
      </w:r>
      <w:r w:rsidRPr="006018E5" w:rsidR="00E54DC7">
        <w:rPr>
          <w:snapToGrid w:val="0"/>
          <w:lang w:eastAsia="zh-CN"/>
        </w:rPr>
        <w:t>nsert the number of Firm Shares</w:t>
      </w:r>
      <w:r>
        <w:rPr>
          <w:snapToGrid w:val="0"/>
          <w:lang w:eastAsia="zh-CN"/>
        </w:rPr>
        <w:t>]</w:t>
      </w:r>
      <w:r w:rsidRPr="00A469A2" w:rsidR="002915FB">
        <w:rPr>
          <w:snapToGrid w:val="0"/>
          <w:lang w:eastAsia="zh-CN"/>
        </w:rPr>
        <w:t xml:space="preserve"> </w:t>
      </w:r>
      <w:r w:rsidRPr="00A469A2" w:rsidR="0045566B">
        <w:rPr>
          <w:snapToGrid w:val="0"/>
        </w:rPr>
        <w:t>Shares</w:t>
      </w:r>
      <w:r w:rsidRPr="00A469A2" w:rsidR="0045566B">
        <w:rPr>
          <w:snapToGrid w:val="0"/>
        </w:rPr>
        <w:br/>
        <w:t>(</w:t>
      </w:r>
      <w:r w:rsidRPr="00A469A2" w:rsidR="00A52573">
        <w:rPr>
          <w:snapToGrid w:val="0"/>
          <w:lang w:eastAsia="zh-CN"/>
        </w:rPr>
        <w:t>US</w:t>
      </w:r>
      <w:r w:rsidRPr="00A469A2" w:rsidR="0045566B">
        <w:rPr>
          <w:snapToGrid w:val="0"/>
          <w:lang w:eastAsia="zh-CN"/>
        </w:rPr>
        <w:t>$</w:t>
      </w:r>
      <w:r>
        <w:rPr>
          <w:snapToGrid w:val="0"/>
          <w:lang w:eastAsia="zh-CN"/>
        </w:rPr>
        <w:t>[</w:t>
      </w:r>
      <w:r w:rsidRPr="006018E5" w:rsidR="006018E5">
        <w:rPr>
          <w:snapToGrid w:val="0"/>
          <w:lang w:eastAsia="zh-CN"/>
        </w:rPr>
        <w:t>I</w:t>
      </w:r>
      <w:r w:rsidRPr="006018E5">
        <w:rPr>
          <w:snapToGrid w:val="0"/>
          <w:lang w:eastAsia="zh-CN"/>
        </w:rPr>
        <w:t>nsert nominal value</w:t>
      </w:r>
      <w:r>
        <w:rPr>
          <w:snapToGrid w:val="0"/>
          <w:lang w:eastAsia="zh-CN"/>
        </w:rPr>
        <w:t>]</w:t>
      </w:r>
      <w:r w:rsidRPr="00A469A2" w:rsidR="0045566B">
        <w:rPr>
          <w:snapToGrid w:val="0"/>
          <w:lang w:eastAsia="zh-CN"/>
        </w:rPr>
        <w:t xml:space="preserve"> per Share</w:t>
      </w:r>
      <w:r w:rsidRPr="00A469A2" w:rsidR="0045566B">
        <w:rPr>
          <w:snapToGrid w:val="0"/>
        </w:rPr>
        <w:t>)</w:t>
      </w:r>
    </w:p>
    <w:p w:rsidR="00A469A2" w:rsidRPr="00A469A2" w:rsidP="00A469A2" w14:paraId="343A498F" w14:textId="77777777">
      <w:pPr>
        <w:pStyle w:val="BodyText0Singleline"/>
        <w:pBdr>
          <w:top w:val="single" w:sz="8" w:space="1" w:color="auto"/>
        </w:pBdr>
        <w:ind w:left="2880" w:right="2880"/>
        <w:jc w:val="center"/>
        <w:rPr>
          <w:b/>
          <w:bCs/>
          <w:snapToGrid w:val="0"/>
        </w:rPr>
      </w:pPr>
    </w:p>
    <w:p w:rsidR="00A469A2" w:rsidP="00A469A2" w14:paraId="6FACD7ED" w14:textId="3B24C67F">
      <w:pPr>
        <w:pStyle w:val="BodyText0Singleline"/>
        <w:jc w:val="center"/>
        <w:rPr>
          <w:b/>
          <w:bCs/>
          <w:snapToGrid w:val="0"/>
        </w:rPr>
      </w:pPr>
      <w:r w:rsidRPr="00A469A2">
        <w:rPr>
          <w:b/>
          <w:bCs/>
          <w:snapToGrid w:val="0"/>
        </w:rPr>
        <w:t>INTERNATIONAL UNDERWRITING AGREEMENT</w:t>
      </w:r>
    </w:p>
    <w:p w:rsidR="00A469A2" w:rsidRPr="00A469A2" w:rsidP="00A469A2" w14:paraId="0CDFBDEC" w14:textId="77777777">
      <w:pPr>
        <w:pStyle w:val="BodyText0Singleline"/>
        <w:pBdr>
          <w:bottom w:val="single" w:sz="8" w:space="1" w:color="auto"/>
        </w:pBdr>
        <w:ind w:left="2880" w:right="2880"/>
        <w:jc w:val="center"/>
        <w:rPr>
          <w:b/>
          <w:bCs/>
          <w:snapToGrid w:val="0"/>
        </w:rPr>
      </w:pPr>
    </w:p>
    <w:p w:rsidR="001C5107" w:rsidRPr="00A469A2" w:rsidP="00A469A2" w14:paraId="447037ED" w14:textId="625E37AE">
      <w:pPr>
        <w:pStyle w:val="BodyText0Singleline"/>
      </w:pPr>
    </w:p>
    <w:p w:rsidR="001C5107" w:rsidRPr="006018E5" w:rsidP="00A469A2" w14:paraId="201E660D" w14:textId="1FB89E12">
      <w:pPr>
        <w:pStyle w:val="BodyText0"/>
        <w:rPr>
          <w:b/>
          <w:bCs/>
          <w:snapToGrid w:val="0"/>
        </w:rPr>
      </w:pPr>
      <w:r w:rsidRPr="006018E5">
        <w:rPr>
          <w:b/>
          <w:bCs/>
          <w:snapToGrid w:val="0"/>
        </w:rPr>
        <w:t>[</w:t>
      </w:r>
      <w:r w:rsidRPr="006018E5" w:rsidR="00D44BDD">
        <w:rPr>
          <w:b/>
          <w:bCs/>
          <w:snapToGrid w:val="0"/>
        </w:rPr>
        <w:t>I</w:t>
      </w:r>
      <w:r w:rsidRPr="006018E5">
        <w:rPr>
          <w:b/>
          <w:bCs/>
          <w:snapToGrid w:val="0"/>
        </w:rPr>
        <w:t>nsert date]</w:t>
      </w:r>
    </w:p>
    <w:p w:rsidR="00DB2CD5" w:rsidRPr="006018E5" w:rsidP="00DB2CD5" w14:paraId="2410E7B6" w14:textId="2D3CBED2">
      <w:pPr>
        <w:pStyle w:val="BodyText0Singleline"/>
        <w:rPr>
          <w:b/>
          <w:bCs/>
          <w:snapToGrid w:val="0"/>
        </w:rPr>
      </w:pPr>
      <w:bookmarkStart w:id="0" w:name="_Hlk183089059"/>
      <w:r w:rsidRPr="006018E5">
        <w:rPr>
          <w:b/>
          <w:bCs/>
          <w:snapToGrid w:val="0"/>
        </w:rPr>
        <w:t>[</w:t>
      </w:r>
      <w:r w:rsidRPr="006018E5">
        <w:rPr>
          <w:b/>
          <w:snapToGrid w:val="0"/>
        </w:rPr>
        <w:t>Insert name and address of the Overall Coordinators, as applicable</w:t>
      </w:r>
      <w:r w:rsidRPr="006018E5">
        <w:rPr>
          <w:b/>
          <w:bCs/>
          <w:snapToGrid w:val="0"/>
        </w:rPr>
        <w:t>]</w:t>
      </w:r>
    </w:p>
    <w:p w:rsidR="00A469A2" w:rsidP="00DB2CD5" w14:paraId="438F1223" w14:textId="2CD8A787">
      <w:pPr>
        <w:pStyle w:val="BodyText0Singleline"/>
        <w:rPr>
          <w:snapToGrid w:val="0"/>
        </w:rPr>
      </w:pPr>
    </w:p>
    <w:p w:rsidR="00A469A2" w:rsidP="00A469A2" w14:paraId="38A7C17C" w14:textId="54FE6E0A">
      <w:pPr>
        <w:pStyle w:val="BodyText0"/>
        <w:rPr>
          <w:snapToGrid w:val="0"/>
        </w:rPr>
      </w:pPr>
      <w:r w:rsidRPr="00A469A2">
        <w:rPr>
          <w:snapToGrid w:val="0"/>
        </w:rPr>
        <w:t xml:space="preserve">as the </w:t>
      </w:r>
      <w:r w:rsidRPr="00A469A2" w:rsidR="00B575B8">
        <w:rPr>
          <w:snapToGrid w:val="0"/>
        </w:rPr>
        <w:t>Overall Coordinators</w:t>
      </w:r>
      <w:r w:rsidRPr="00A469A2">
        <w:rPr>
          <w:rFonts w:hint="eastAsia"/>
          <w:snapToGrid w:val="0"/>
        </w:rPr>
        <w:t xml:space="preserve"> </w:t>
      </w:r>
      <w:r w:rsidRPr="00A469A2">
        <w:rPr>
          <w:snapToGrid w:val="0"/>
        </w:rPr>
        <w:t xml:space="preserve">(as defined herein) </w:t>
      </w:r>
      <w:r w:rsidRPr="00A469A2" w:rsidR="00B575B8">
        <w:rPr>
          <w:snapToGrid w:val="0"/>
        </w:rPr>
        <w:t>and the Joint Global Coordinators (as defined below)</w:t>
      </w:r>
      <w:r w:rsidRPr="00A469A2" w:rsidR="00CA6440">
        <w:rPr>
          <w:snapToGrid w:val="0"/>
        </w:rPr>
        <w:t xml:space="preserve"> </w:t>
      </w:r>
      <w:r w:rsidRPr="00A469A2" w:rsidR="00B575B8">
        <w:rPr>
          <w:snapToGrid w:val="0"/>
        </w:rPr>
        <w:t xml:space="preserve">acting on behalf </w:t>
      </w:r>
      <w:r w:rsidRPr="00A469A2">
        <w:rPr>
          <w:snapToGrid w:val="0"/>
        </w:rPr>
        <w:t xml:space="preserve">of the several International Underwriters named in </w:t>
      </w:r>
      <w:r w:rsidR="00604886">
        <w:rPr>
          <w:snapToGrid w:val="0"/>
        </w:rPr>
        <w:fldChar w:fldCharType="begin"/>
      </w:r>
      <w:r w:rsidR="00604886">
        <w:rPr>
          <w:snapToGrid w:val="0"/>
        </w:rPr>
        <w:instrText xml:space="preserve"> REF _Ref155101112 \r \h </w:instrText>
      </w:r>
      <w:r w:rsidR="00604886">
        <w:rPr>
          <w:snapToGrid w:val="0"/>
        </w:rPr>
        <w:fldChar w:fldCharType="separate"/>
      </w:r>
      <w:r w:rsidR="00ED2E07">
        <w:rPr>
          <w:snapToGrid w:val="0"/>
        </w:rPr>
        <w:t>Schedule I</w:t>
      </w:r>
      <w:r w:rsidR="00604886">
        <w:rPr>
          <w:snapToGrid w:val="0"/>
        </w:rPr>
        <w:fldChar w:fldCharType="end"/>
      </w:r>
      <w:r w:rsidRPr="00A469A2">
        <w:rPr>
          <w:snapToGrid w:val="0"/>
        </w:rPr>
        <w:t xml:space="preserve"> hereto, </w:t>
      </w:r>
    </w:p>
    <w:p w:rsidR="00DB2CD5" w:rsidP="00DB2CD5" w14:paraId="5E6D8252" w14:textId="4B717745">
      <w:pPr>
        <w:pStyle w:val="BodyText0Singleline"/>
        <w:rPr>
          <w:b/>
          <w:bCs/>
          <w:snapToGrid w:val="0"/>
        </w:rPr>
      </w:pPr>
      <w:r>
        <w:rPr>
          <w:b/>
          <w:bCs/>
          <w:snapToGrid w:val="0"/>
        </w:rPr>
        <w:t>[</w:t>
      </w:r>
      <w:r w:rsidRPr="006018E5">
        <w:rPr>
          <w:b/>
          <w:snapToGrid w:val="0"/>
        </w:rPr>
        <w:t>Insert name and address of the Joint Bookrunners and Joint Lead Managers</w:t>
      </w:r>
      <w:r>
        <w:rPr>
          <w:b/>
          <w:bCs/>
          <w:snapToGrid w:val="0"/>
        </w:rPr>
        <w:t>]</w:t>
      </w:r>
    </w:p>
    <w:p w:rsidR="00DB2CD5" w:rsidRPr="00A469A2" w:rsidP="00DB2CD5" w14:paraId="3B87CE2C" w14:textId="77777777">
      <w:pPr>
        <w:pStyle w:val="BodyText0Singleline"/>
        <w:rPr>
          <w:b/>
          <w:bCs/>
          <w:snapToGrid w:val="0"/>
        </w:rPr>
      </w:pPr>
    </w:p>
    <w:p w:rsidR="00F03D7B" w:rsidRPr="00A469A2" w:rsidP="00A469A2" w14:paraId="6A9428C2" w14:textId="2FCF14DD">
      <w:pPr>
        <w:pStyle w:val="BodyText0"/>
        <w:rPr>
          <w:snapToGrid w:val="0"/>
          <w:szCs w:val="22"/>
        </w:rPr>
      </w:pPr>
      <w:r w:rsidRPr="00A469A2">
        <w:rPr>
          <w:snapToGrid w:val="0"/>
          <w:szCs w:val="22"/>
        </w:rPr>
        <w:t>as the Joint Bookrunners and Joint Lead Managers (as defined below)</w:t>
      </w:r>
    </w:p>
    <w:p w:rsidR="00DB2CD5" w:rsidRPr="00A469A2" w:rsidP="00DB2CD5" w14:paraId="33726B59" w14:textId="163DCE2D">
      <w:pPr>
        <w:pStyle w:val="BodyText0Singleline"/>
        <w:rPr>
          <w:b/>
          <w:bCs/>
          <w:snapToGrid w:val="0"/>
        </w:rPr>
      </w:pPr>
      <w:r>
        <w:rPr>
          <w:b/>
          <w:bCs/>
          <w:snapToGrid w:val="0"/>
        </w:rPr>
        <w:t>[</w:t>
      </w:r>
      <w:r w:rsidRPr="006018E5">
        <w:rPr>
          <w:b/>
          <w:snapToGrid w:val="0"/>
        </w:rPr>
        <w:t>Insert name and address of the Joint Sponsor, as applicable</w:t>
      </w:r>
      <w:r>
        <w:rPr>
          <w:b/>
          <w:bCs/>
          <w:snapToGrid w:val="0"/>
        </w:rPr>
        <w:t>]</w:t>
      </w:r>
    </w:p>
    <w:p w:rsidR="001C5107" w:rsidRPr="00A469A2" w:rsidP="00DB2CD5" w14:paraId="73121C20" w14:textId="50BF2DFA">
      <w:pPr>
        <w:pStyle w:val="BodyText0Singleline"/>
        <w:rPr>
          <w:snapToGrid w:val="0"/>
        </w:rPr>
      </w:pPr>
    </w:p>
    <w:p w:rsidR="00022881" w:rsidP="00A469A2" w14:paraId="20C15D10" w14:textId="5153B5F2">
      <w:pPr>
        <w:pStyle w:val="BodyText0"/>
        <w:rPr>
          <w:snapToGrid w:val="0"/>
        </w:rPr>
      </w:pPr>
      <w:r w:rsidRPr="00A469A2">
        <w:rPr>
          <w:snapToGrid w:val="0"/>
        </w:rPr>
        <w:t>as a Joint Sponsor (as defined below)</w:t>
      </w:r>
      <w:r w:rsidRPr="00A469A2" w:rsidR="00F03D7B">
        <w:rPr>
          <w:snapToGrid w:val="0"/>
        </w:rPr>
        <w:t xml:space="preserve"> (together with </w:t>
      </w:r>
      <w:r w:rsidRPr="00DB2CD5" w:rsidR="00DB2CD5">
        <w:rPr>
          <w:snapToGrid w:val="0"/>
        </w:rPr>
        <w:t>[</w:t>
      </w:r>
      <w:r w:rsidRPr="006018E5" w:rsidR="00DB2CD5">
        <w:rPr>
          <w:b/>
          <w:snapToGrid w:val="0"/>
        </w:rPr>
        <w:t>Insert the abbreviation of the bank(s), as applicable</w:t>
      </w:r>
      <w:r w:rsidRPr="00DB2CD5" w:rsidR="00DB2CD5">
        <w:rPr>
          <w:snapToGrid w:val="0"/>
        </w:rPr>
        <w:t>]</w:t>
      </w:r>
      <w:r w:rsidRPr="00DB2CD5" w:rsidR="00F03D7B">
        <w:rPr>
          <w:snapToGrid w:val="0"/>
        </w:rPr>
        <w:t>,</w:t>
      </w:r>
      <w:r w:rsidRPr="00A469A2" w:rsidR="00F03D7B">
        <w:rPr>
          <w:snapToGrid w:val="0"/>
        </w:rPr>
        <w:t xml:space="preserve"> the “</w:t>
      </w:r>
      <w:r w:rsidRPr="00DB2CD5" w:rsidR="00F03D7B">
        <w:rPr>
          <w:b/>
          <w:bCs/>
          <w:snapToGrid w:val="0"/>
        </w:rPr>
        <w:t>Joint Sponsors</w:t>
      </w:r>
      <w:r>
        <w:rPr>
          <w:rStyle w:val="FootnoteReference"/>
          <w:szCs w:val="22"/>
        </w:rPr>
        <w:footnoteReference w:id="2"/>
      </w:r>
      <w:r w:rsidRPr="00A469A2" w:rsidR="00F03D7B">
        <w:rPr>
          <w:snapToGrid w:val="0"/>
        </w:rPr>
        <w:t>”)</w:t>
      </w:r>
    </w:p>
    <w:bookmarkEnd w:id="0"/>
    <w:p w:rsidR="003C6CDA" w:rsidP="00A469A2" w14:paraId="71687641" w14:textId="4F8D9E36">
      <w:pPr>
        <w:pStyle w:val="BodyText0"/>
        <w:rPr>
          <w:snapToGrid w:val="0"/>
        </w:rPr>
      </w:pPr>
    </w:p>
    <w:p w:rsidR="003C6CDA" w:rsidRPr="00A469A2" w:rsidP="00A469A2" w14:paraId="06FB6E8A" w14:textId="77777777">
      <w:pPr>
        <w:pStyle w:val="BodyText0"/>
        <w:rPr>
          <w:snapToGrid w:val="0"/>
        </w:rPr>
      </w:pPr>
    </w:p>
    <w:p w:rsidR="001C5107" w:rsidRPr="00A469A2" w:rsidP="00A469A2" w14:paraId="18CDFAC1" w14:textId="77777777">
      <w:pPr>
        <w:pStyle w:val="BodyText0"/>
        <w:pageBreakBefore/>
        <w:rPr>
          <w:snapToGrid w:val="0"/>
        </w:rPr>
      </w:pPr>
      <w:bookmarkStart w:id="1" w:name="OrigSetCursorLoc"/>
      <w:bookmarkEnd w:id="1"/>
      <w:r w:rsidRPr="00A469A2">
        <w:rPr>
          <w:snapToGrid w:val="0"/>
        </w:rPr>
        <w:t>Ladies and Gentlemen:</w:t>
      </w:r>
    </w:p>
    <w:p w:rsidR="001C5107" w:rsidRPr="009A09FD" w:rsidP="00A469A2" w14:paraId="31196CCB" w14:textId="784881AB">
      <w:pPr>
        <w:pStyle w:val="BodyText0"/>
        <w:rPr>
          <w:snapToGrid w:val="0"/>
        </w:rPr>
      </w:pPr>
      <w:r>
        <w:rPr>
          <w:rFonts w:hint="eastAsia"/>
          <w:b/>
          <w:snapToGrid w:val="0"/>
        </w:rPr>
        <w:t>[</w:t>
      </w:r>
      <w:r w:rsidRPr="006018E5" w:rsidR="006018E5">
        <w:rPr>
          <w:b/>
          <w:snapToGrid w:val="0"/>
        </w:rPr>
        <w:t>I</w:t>
      </w:r>
      <w:r w:rsidRPr="006018E5">
        <w:rPr>
          <w:rFonts w:hint="eastAsia"/>
          <w:b/>
          <w:snapToGrid w:val="0"/>
        </w:rPr>
        <w:t>nsert name of issuer</w:t>
      </w:r>
      <w:r>
        <w:rPr>
          <w:rFonts w:hint="eastAsia"/>
          <w:b/>
          <w:snapToGrid w:val="0"/>
        </w:rPr>
        <w:t>]</w:t>
      </w:r>
      <w:r w:rsidRPr="00A469A2" w:rsidR="0045566B">
        <w:rPr>
          <w:snapToGrid w:val="0"/>
        </w:rPr>
        <w:t>,</w:t>
      </w:r>
      <w:r w:rsidRPr="00A469A2" w:rsidR="0045566B">
        <w:rPr>
          <w:rFonts w:hint="eastAsia"/>
          <w:snapToGrid w:val="0"/>
        </w:rPr>
        <w:t xml:space="preserve"> </w:t>
      </w:r>
      <w:r w:rsidRPr="00A469A2" w:rsidR="00EF715F">
        <w:rPr>
          <w:rFonts w:hint="eastAsia"/>
          <w:snapToGrid w:val="0"/>
        </w:rPr>
        <w:t xml:space="preserve">a </w:t>
      </w:r>
      <w:r w:rsidR="00DF0F4E">
        <w:rPr>
          <w:snapToGrid w:val="0"/>
        </w:rPr>
        <w:t>[</w:t>
      </w:r>
      <w:r w:rsidRPr="00A469A2" w:rsidR="00EF715F">
        <w:rPr>
          <w:rFonts w:hint="eastAsia"/>
          <w:snapToGrid w:val="0"/>
        </w:rPr>
        <w:t>limited liability</w:t>
      </w:r>
      <w:r w:rsidR="00DF0F4E">
        <w:rPr>
          <w:snapToGrid w:val="0"/>
        </w:rPr>
        <w:t>]</w:t>
      </w:r>
      <w:r w:rsidRPr="00A469A2" w:rsidR="00EF715F">
        <w:rPr>
          <w:rFonts w:hint="eastAsia"/>
          <w:snapToGrid w:val="0"/>
        </w:rPr>
        <w:t xml:space="preserve"> company incorporated under the laws of the Cayman Islands</w:t>
      </w:r>
      <w:r>
        <w:rPr>
          <w:rStyle w:val="FootnoteReference"/>
          <w:szCs w:val="22"/>
          <w:lang w:eastAsia="zh-CN"/>
        </w:rPr>
        <w:footnoteReference w:id="3"/>
      </w:r>
      <w:r w:rsidRPr="00A469A2" w:rsidR="00EF715F">
        <w:rPr>
          <w:rFonts w:hint="eastAsia"/>
          <w:snapToGrid w:val="0"/>
        </w:rPr>
        <w:t xml:space="preserve"> </w:t>
      </w:r>
      <w:r w:rsidRPr="00A469A2" w:rsidR="00EF715F">
        <w:rPr>
          <w:snapToGrid w:val="0"/>
        </w:rPr>
        <w:t xml:space="preserve">on </w:t>
      </w:r>
      <w:r w:rsidRPr="006018E5" w:rsidR="00474260">
        <w:rPr>
          <w:b/>
          <w:bCs/>
          <w:snapToGrid w:val="0"/>
        </w:rPr>
        <w:t>[</w:t>
      </w:r>
      <w:r w:rsidRPr="006018E5" w:rsidR="006018E5">
        <w:rPr>
          <w:b/>
          <w:bCs/>
          <w:snapToGrid w:val="0"/>
        </w:rPr>
        <w:t>I</w:t>
      </w:r>
      <w:r w:rsidRPr="006018E5" w:rsidR="00474260">
        <w:rPr>
          <w:b/>
          <w:bCs/>
          <w:snapToGrid w:val="0"/>
        </w:rPr>
        <w:t>nsert date]</w:t>
      </w:r>
      <w:r w:rsidRPr="00A469A2" w:rsidR="00A23231">
        <w:rPr>
          <w:snapToGrid w:val="0"/>
        </w:rPr>
        <w:t xml:space="preserve"> </w:t>
      </w:r>
      <w:r w:rsidRPr="00A469A2" w:rsidR="00EF715F">
        <w:rPr>
          <w:snapToGrid w:val="0"/>
        </w:rPr>
        <w:t xml:space="preserve">as an </w:t>
      </w:r>
      <w:r w:rsidR="00DF0F4E">
        <w:rPr>
          <w:snapToGrid w:val="0"/>
        </w:rPr>
        <w:t>[</w:t>
      </w:r>
      <w:r w:rsidRPr="00A469A2" w:rsidR="00EF715F">
        <w:rPr>
          <w:snapToGrid w:val="0"/>
        </w:rPr>
        <w:t>exempted company</w:t>
      </w:r>
      <w:r w:rsidR="00DF0F4E">
        <w:rPr>
          <w:snapToGrid w:val="0"/>
        </w:rPr>
        <w:t>]</w:t>
      </w:r>
      <w:r w:rsidRPr="00A469A2" w:rsidR="0045566B">
        <w:rPr>
          <w:snapToGrid w:val="0"/>
        </w:rPr>
        <w:t xml:space="preserve">, having its registered office at </w:t>
      </w:r>
      <w:r w:rsidRPr="006018E5" w:rsidR="00DF0712">
        <w:rPr>
          <w:b/>
          <w:bCs/>
          <w:snapToGrid w:val="0"/>
        </w:rPr>
        <w:t>[</w:t>
      </w:r>
      <w:r w:rsidRPr="006018E5" w:rsidR="006018E5">
        <w:rPr>
          <w:b/>
          <w:bCs/>
          <w:snapToGrid w:val="0"/>
        </w:rPr>
        <w:t>I</w:t>
      </w:r>
      <w:r w:rsidRPr="006018E5" w:rsidR="00DF0712">
        <w:rPr>
          <w:b/>
          <w:bCs/>
          <w:snapToGrid w:val="0"/>
        </w:rPr>
        <w:t>nsert address</w:t>
      </w:r>
      <w:r w:rsidRPr="006018E5" w:rsidR="0043448F">
        <w:rPr>
          <w:b/>
          <w:bCs/>
          <w:snapToGrid w:val="0"/>
        </w:rPr>
        <w:t xml:space="preserve"> of issuer</w:t>
      </w:r>
      <w:r w:rsidRPr="006018E5" w:rsidR="00DF0712">
        <w:rPr>
          <w:b/>
          <w:bCs/>
          <w:snapToGrid w:val="0"/>
        </w:rPr>
        <w:t>]</w:t>
      </w:r>
      <w:r w:rsidRPr="00A469A2" w:rsidR="0045566B">
        <w:rPr>
          <w:rFonts w:hint="eastAsia"/>
          <w:snapToGrid w:val="0"/>
        </w:rPr>
        <w:t xml:space="preserve"> </w:t>
      </w:r>
      <w:r w:rsidRPr="00A469A2" w:rsidR="0045566B">
        <w:rPr>
          <w:snapToGrid w:val="0"/>
        </w:rPr>
        <w:t>(the “</w:t>
      </w:r>
      <w:r w:rsidRPr="00A469A2" w:rsidR="0045566B">
        <w:rPr>
          <w:b/>
          <w:snapToGrid w:val="0"/>
        </w:rPr>
        <w:t>Company</w:t>
      </w:r>
      <w:r w:rsidRPr="00A469A2" w:rsidR="0045566B">
        <w:rPr>
          <w:snapToGrid w:val="0"/>
        </w:rPr>
        <w:t>”), proposes, subject to the terms and conditions stated herein, to issue and sell to the several international underwriters named in hereto (the “</w:t>
      </w:r>
      <w:r w:rsidRPr="00A469A2" w:rsidR="0045566B">
        <w:rPr>
          <w:b/>
          <w:snapToGrid w:val="0"/>
        </w:rPr>
        <w:t>International Underwriters</w:t>
      </w:r>
      <w:r w:rsidRPr="00A469A2" w:rsidR="0045566B">
        <w:rPr>
          <w:snapToGrid w:val="0"/>
        </w:rPr>
        <w:t xml:space="preserve">”) or to </w:t>
      </w:r>
      <w:r w:rsidRPr="00A469A2" w:rsidR="00DC1456">
        <w:rPr>
          <w:snapToGrid w:val="0"/>
        </w:rPr>
        <w:t xml:space="preserve">the </w:t>
      </w:r>
      <w:r w:rsidRPr="00A469A2" w:rsidR="0045566B">
        <w:rPr>
          <w:snapToGrid w:val="0"/>
        </w:rPr>
        <w:t>purchasers procured by the International Underwriters (the “</w:t>
      </w:r>
      <w:r w:rsidRPr="00A469A2" w:rsidR="0045566B">
        <w:rPr>
          <w:b/>
          <w:snapToGrid w:val="0"/>
        </w:rPr>
        <w:t>subsequent purchasers</w:t>
      </w:r>
      <w:r w:rsidRPr="00A469A2" w:rsidR="0045566B">
        <w:rPr>
          <w:snapToGrid w:val="0"/>
        </w:rPr>
        <w:t xml:space="preserve">”) </w:t>
      </w:r>
      <w:r w:rsidRPr="006018E5" w:rsidR="00474260">
        <w:rPr>
          <w:b/>
          <w:bCs/>
          <w:snapToGrid w:val="0"/>
        </w:rPr>
        <w:t>[</w:t>
      </w:r>
      <w:r w:rsidRPr="006018E5" w:rsidR="006018E5">
        <w:rPr>
          <w:b/>
          <w:bCs/>
          <w:snapToGrid w:val="0"/>
        </w:rPr>
        <w:t>I</w:t>
      </w:r>
      <w:r w:rsidRPr="006018E5" w:rsidR="00E54DC7">
        <w:rPr>
          <w:b/>
          <w:bCs/>
          <w:snapToGrid w:val="0"/>
        </w:rPr>
        <w:t>nsert the number of Firm Shares</w:t>
      </w:r>
      <w:r w:rsidRPr="006018E5" w:rsidR="00474260">
        <w:rPr>
          <w:b/>
          <w:bCs/>
          <w:snapToGrid w:val="0"/>
        </w:rPr>
        <w:t>]</w:t>
      </w:r>
      <w:r w:rsidRPr="00A469A2" w:rsidR="00AC5958">
        <w:rPr>
          <w:snapToGrid w:val="0"/>
        </w:rPr>
        <w:t xml:space="preserve"> shares of nominal value </w:t>
      </w:r>
      <w:r w:rsidRPr="00A469A2" w:rsidR="006E09B7">
        <w:rPr>
          <w:snapToGrid w:val="0"/>
        </w:rPr>
        <w:t>US</w:t>
      </w:r>
      <w:r w:rsidRPr="00A469A2" w:rsidR="0045566B">
        <w:rPr>
          <w:snapToGrid w:val="0"/>
        </w:rPr>
        <w:t>$</w:t>
      </w:r>
      <w:r w:rsidRPr="006018E5" w:rsidR="00474260">
        <w:rPr>
          <w:b/>
          <w:bCs/>
          <w:snapToGrid w:val="0"/>
        </w:rPr>
        <w:t>[</w:t>
      </w:r>
      <w:r w:rsidRPr="006018E5" w:rsidR="006018E5">
        <w:rPr>
          <w:b/>
          <w:bCs/>
          <w:snapToGrid w:val="0"/>
        </w:rPr>
        <w:t>I</w:t>
      </w:r>
      <w:r w:rsidRPr="006018E5" w:rsidR="00474260">
        <w:rPr>
          <w:b/>
          <w:bCs/>
          <w:snapToGrid w:val="0"/>
        </w:rPr>
        <w:t>nsert nominal value]</w:t>
      </w:r>
      <w:r w:rsidRPr="00A469A2" w:rsidR="0045566B">
        <w:rPr>
          <w:snapToGrid w:val="0"/>
        </w:rPr>
        <w:t xml:space="preserve"> per share</w:t>
      </w:r>
      <w:r>
        <w:rPr>
          <w:rStyle w:val="FootnoteReference"/>
          <w:szCs w:val="22"/>
          <w:lang w:eastAsia="zh-CN"/>
        </w:rPr>
        <w:footnoteReference w:id="4"/>
      </w:r>
      <w:r w:rsidRPr="00A469A2" w:rsidR="0045566B">
        <w:rPr>
          <w:snapToGrid w:val="0"/>
        </w:rPr>
        <w:t xml:space="preserve"> (“</w:t>
      </w:r>
      <w:r w:rsidRPr="00A469A2" w:rsidR="0045566B">
        <w:rPr>
          <w:b/>
          <w:snapToGrid w:val="0"/>
        </w:rPr>
        <w:t>Shares</w:t>
      </w:r>
      <w:r w:rsidRPr="00A469A2" w:rsidR="0045566B">
        <w:rPr>
          <w:snapToGrid w:val="0"/>
        </w:rPr>
        <w:t xml:space="preserve">”) to be listed on </w:t>
      </w:r>
      <w:r w:rsidR="00023395">
        <w:rPr>
          <w:snapToGrid w:val="0"/>
        </w:rPr>
        <w:t xml:space="preserve">the Main Board of </w:t>
      </w:r>
      <w:r w:rsidRPr="00A469A2" w:rsidR="0045566B">
        <w:rPr>
          <w:snapToGrid w:val="0"/>
        </w:rPr>
        <w:t>The Stock Exchange of Hong Kong Limited (the “</w:t>
      </w:r>
      <w:r w:rsidRPr="00A469A2" w:rsidR="0045566B">
        <w:rPr>
          <w:b/>
          <w:snapToGrid w:val="0"/>
        </w:rPr>
        <w:t>Stock Exchange</w:t>
      </w:r>
      <w:r w:rsidRPr="00A469A2" w:rsidR="0045566B">
        <w:rPr>
          <w:snapToGrid w:val="0"/>
        </w:rPr>
        <w:t>”) and traded in Hong Kong dollars</w:t>
      </w:r>
      <w:r w:rsidR="00735589">
        <w:rPr>
          <w:snapToGrid w:val="0"/>
        </w:rPr>
        <w:t>, subject to adjustment and reallocation in accordance with this Agreement and the Hong Kong Underwriting Agreement</w:t>
      </w:r>
      <w:r w:rsidRPr="00A469A2" w:rsidR="0045566B">
        <w:rPr>
          <w:snapToGrid w:val="0"/>
        </w:rPr>
        <w:t xml:space="preserve">.  The </w:t>
      </w:r>
      <w:r w:rsidRPr="006018E5" w:rsidR="00474260">
        <w:rPr>
          <w:b/>
          <w:bCs/>
          <w:snapToGrid w:val="0"/>
        </w:rPr>
        <w:t>[</w:t>
      </w:r>
      <w:r w:rsidRPr="006018E5" w:rsidR="006018E5">
        <w:rPr>
          <w:b/>
          <w:bCs/>
          <w:snapToGrid w:val="0"/>
        </w:rPr>
        <w:t>I</w:t>
      </w:r>
      <w:r w:rsidRPr="006018E5" w:rsidR="00E54DC7">
        <w:rPr>
          <w:b/>
          <w:bCs/>
          <w:snapToGrid w:val="0"/>
        </w:rPr>
        <w:t>nsert the number of Firm Shares</w:t>
      </w:r>
      <w:r w:rsidRPr="006018E5" w:rsidR="00474260">
        <w:rPr>
          <w:b/>
          <w:bCs/>
          <w:snapToGrid w:val="0"/>
        </w:rPr>
        <w:t>]</w:t>
      </w:r>
      <w:r w:rsidRPr="00A469A2" w:rsidR="0045566B">
        <w:rPr>
          <w:snapToGrid w:val="0"/>
        </w:rPr>
        <w:t xml:space="preserve"> </w:t>
      </w:r>
      <w:r w:rsidRPr="00A469A2" w:rsidR="0045566B">
        <w:rPr>
          <w:rFonts w:hint="eastAsia"/>
          <w:snapToGrid w:val="0"/>
        </w:rPr>
        <w:t>S</w:t>
      </w:r>
      <w:r w:rsidRPr="00A469A2" w:rsidR="0045566B">
        <w:rPr>
          <w:snapToGrid w:val="0"/>
        </w:rPr>
        <w:t xml:space="preserve">hares initially to be sold by the Company </w:t>
      </w:r>
      <w:r w:rsidRPr="00A469A2" w:rsidR="0045566B">
        <w:rPr>
          <w:rFonts w:hint="eastAsia"/>
          <w:snapToGrid w:val="0"/>
        </w:rPr>
        <w:t>are</w:t>
      </w:r>
      <w:r w:rsidRPr="00A469A2" w:rsidR="0045566B">
        <w:rPr>
          <w:snapToGrid w:val="0"/>
        </w:rPr>
        <w:t xml:space="preserve"> herein called the “</w:t>
      </w:r>
      <w:r w:rsidRPr="00A469A2" w:rsidR="0045566B">
        <w:rPr>
          <w:b/>
          <w:snapToGrid w:val="0"/>
        </w:rPr>
        <w:t>Firm Shares</w:t>
      </w:r>
      <w:r w:rsidRPr="00A469A2" w:rsidR="0045566B">
        <w:rPr>
          <w:snapToGrid w:val="0"/>
        </w:rPr>
        <w:t>”.  In addition, the Company propose</w:t>
      </w:r>
      <w:r w:rsidRPr="00A469A2" w:rsidR="0045566B">
        <w:rPr>
          <w:rFonts w:hint="eastAsia"/>
          <w:snapToGrid w:val="0"/>
        </w:rPr>
        <w:t>s</w:t>
      </w:r>
      <w:r w:rsidRPr="00A469A2" w:rsidR="0045566B">
        <w:rPr>
          <w:snapToGrid w:val="0"/>
        </w:rPr>
        <w:t xml:space="preserve"> to grant to the International Underwriters the option to purchase</w:t>
      </w:r>
      <w:r w:rsidRPr="00A469A2" w:rsidR="0045566B">
        <w:rPr>
          <w:rFonts w:hint="eastAsia"/>
          <w:snapToGrid w:val="0"/>
        </w:rPr>
        <w:t xml:space="preserve"> themselves or through their respective Affiliates</w:t>
      </w:r>
      <w:r w:rsidRPr="00A469A2" w:rsidR="0045566B">
        <w:rPr>
          <w:snapToGrid w:val="0"/>
        </w:rPr>
        <w:t xml:space="preserve"> (as defined below) from the Company up to </w:t>
      </w:r>
      <w:r w:rsidRPr="006018E5" w:rsidR="00E54DC7">
        <w:rPr>
          <w:b/>
          <w:bCs/>
          <w:snapToGrid w:val="0"/>
        </w:rPr>
        <w:t>[</w:t>
      </w:r>
      <w:r w:rsidRPr="006018E5" w:rsidR="006018E5">
        <w:rPr>
          <w:b/>
          <w:bCs/>
          <w:snapToGrid w:val="0"/>
        </w:rPr>
        <w:t>I</w:t>
      </w:r>
      <w:r w:rsidRPr="006018E5" w:rsidR="00E54DC7">
        <w:rPr>
          <w:b/>
          <w:bCs/>
          <w:snapToGrid w:val="0"/>
        </w:rPr>
        <w:t>nsert the number of Over-allotment Option Shares]</w:t>
      </w:r>
      <w:r w:rsidRPr="00A469A2" w:rsidR="0045566B">
        <w:rPr>
          <w:rFonts w:hint="eastAsia"/>
          <w:snapToGrid w:val="0"/>
        </w:rPr>
        <w:t xml:space="preserve"> </w:t>
      </w:r>
      <w:r w:rsidRPr="00A469A2" w:rsidR="0045566B">
        <w:rPr>
          <w:snapToGrid w:val="0"/>
        </w:rPr>
        <w:t xml:space="preserve">additional </w:t>
      </w:r>
      <w:r w:rsidRPr="00A469A2" w:rsidR="0045566B">
        <w:rPr>
          <w:rFonts w:hint="eastAsia"/>
          <w:snapToGrid w:val="0"/>
        </w:rPr>
        <w:t>Shares</w:t>
      </w:r>
      <w:r w:rsidRPr="00A469A2" w:rsidR="0045566B">
        <w:rPr>
          <w:snapToGrid w:val="0"/>
        </w:rPr>
        <w:t xml:space="preserve"> (the “</w:t>
      </w:r>
      <w:r w:rsidRPr="00A469A2" w:rsidR="0045566B">
        <w:rPr>
          <w:b/>
          <w:snapToGrid w:val="0"/>
        </w:rPr>
        <w:t>Over-allotment</w:t>
      </w:r>
      <w:r w:rsidRPr="00A469A2" w:rsidR="0045566B">
        <w:rPr>
          <w:snapToGrid w:val="0"/>
        </w:rPr>
        <w:t xml:space="preserve"> </w:t>
      </w:r>
      <w:r w:rsidRPr="00A469A2" w:rsidR="0045566B">
        <w:rPr>
          <w:b/>
          <w:snapToGrid w:val="0"/>
        </w:rPr>
        <w:t>Option Shares</w:t>
      </w:r>
      <w:r w:rsidRPr="00A469A2" w:rsidR="0045566B">
        <w:rPr>
          <w:snapToGrid w:val="0"/>
        </w:rPr>
        <w:t xml:space="preserve">”) to, among other things, cover over-allocations.  The Firm Shares and the Over-allotment Option Shares are herein referred to </w:t>
      </w:r>
      <w:r w:rsidRPr="009A09FD" w:rsidR="0045566B">
        <w:rPr>
          <w:snapToGrid w:val="0"/>
        </w:rPr>
        <w:t>collectively as the “</w:t>
      </w:r>
      <w:r w:rsidRPr="009A09FD" w:rsidR="0045566B">
        <w:rPr>
          <w:b/>
          <w:snapToGrid w:val="0"/>
        </w:rPr>
        <w:t>International Offer Shares</w:t>
      </w:r>
      <w:r w:rsidRPr="009A09FD" w:rsidR="0045566B">
        <w:rPr>
          <w:snapToGrid w:val="0"/>
        </w:rPr>
        <w:t>”.</w:t>
      </w:r>
      <w:r w:rsidRPr="009A09FD" w:rsidR="00773BFD">
        <w:rPr>
          <w:snapToGrid w:val="0"/>
        </w:rPr>
        <w:t xml:space="preserve"> </w:t>
      </w:r>
      <w:r w:rsidRPr="009A09FD" w:rsidR="0043448F">
        <w:rPr>
          <w:b/>
          <w:bCs/>
          <w:snapToGrid w:val="0"/>
        </w:rPr>
        <w:t>[</w:t>
      </w:r>
      <w:r w:rsidRPr="009A09FD" w:rsidR="006018E5">
        <w:rPr>
          <w:b/>
          <w:bCs/>
          <w:snapToGrid w:val="0"/>
        </w:rPr>
        <w:t>I</w:t>
      </w:r>
      <w:r w:rsidRPr="009A09FD" w:rsidR="0043448F">
        <w:rPr>
          <w:b/>
          <w:bCs/>
          <w:snapToGrid w:val="0"/>
        </w:rPr>
        <w:t>nsert name of borrower]</w:t>
      </w:r>
      <w:r w:rsidRPr="009A09FD" w:rsidR="0043448F">
        <w:rPr>
          <w:snapToGrid w:val="0"/>
        </w:rPr>
        <w:t xml:space="preserve"> </w:t>
      </w:r>
      <w:r w:rsidRPr="009A09FD" w:rsidR="00773BFD">
        <w:rPr>
          <w:snapToGrid w:val="0"/>
        </w:rPr>
        <w:t>enter</w:t>
      </w:r>
      <w:r w:rsidRPr="009A09FD" w:rsidR="006338B1">
        <w:rPr>
          <w:snapToGrid w:val="0"/>
        </w:rPr>
        <w:t>ed</w:t>
      </w:r>
      <w:r w:rsidRPr="009A09FD" w:rsidR="00773BFD">
        <w:rPr>
          <w:snapToGrid w:val="0"/>
        </w:rPr>
        <w:t xml:space="preserve"> into a Stock Borrowing Agreement with </w:t>
      </w:r>
      <w:r w:rsidRPr="009A09FD" w:rsidR="0043448F">
        <w:rPr>
          <w:b/>
          <w:bCs/>
          <w:snapToGrid w:val="0"/>
        </w:rPr>
        <w:t>[</w:t>
      </w:r>
      <w:r w:rsidRPr="009A09FD" w:rsidR="006018E5">
        <w:rPr>
          <w:b/>
          <w:bCs/>
          <w:snapToGrid w:val="0"/>
        </w:rPr>
        <w:t>I</w:t>
      </w:r>
      <w:r w:rsidRPr="009A09FD" w:rsidR="0043448F">
        <w:rPr>
          <w:b/>
          <w:bCs/>
          <w:snapToGrid w:val="0"/>
        </w:rPr>
        <w:t>nsert name of lender]</w:t>
      </w:r>
      <w:r w:rsidRPr="009A09FD" w:rsidR="006338B1">
        <w:rPr>
          <w:snapToGrid w:val="0"/>
        </w:rPr>
        <w:t xml:space="preserve"> on </w:t>
      </w:r>
      <w:r w:rsidRPr="009A09FD">
        <w:rPr>
          <w:b/>
          <w:bCs/>
          <w:snapToGrid w:val="0"/>
        </w:rPr>
        <w:t>[</w:t>
      </w:r>
      <w:r w:rsidRPr="009A09FD" w:rsidR="006018E5">
        <w:rPr>
          <w:b/>
          <w:bCs/>
          <w:snapToGrid w:val="0"/>
        </w:rPr>
        <w:t>I</w:t>
      </w:r>
      <w:r w:rsidRPr="009A09FD">
        <w:rPr>
          <w:b/>
          <w:bCs/>
          <w:snapToGrid w:val="0"/>
        </w:rPr>
        <w:t>nsert date]</w:t>
      </w:r>
      <w:r w:rsidRPr="009A09FD" w:rsidR="00BA207C">
        <w:rPr>
          <w:snapToGrid w:val="0"/>
        </w:rPr>
        <w:t>.</w:t>
      </w:r>
      <w:r>
        <w:rPr>
          <w:rStyle w:val="FootnoteReference"/>
          <w:szCs w:val="22"/>
        </w:rPr>
        <w:footnoteReference w:id="5"/>
      </w:r>
    </w:p>
    <w:p w:rsidR="00C042DF" w:rsidRPr="009A09FD" w:rsidP="00A469A2" w14:paraId="376F87CE" w14:textId="513B1B01">
      <w:pPr>
        <w:pStyle w:val="BodyText0"/>
        <w:rPr>
          <w:snapToGrid w:val="0"/>
        </w:rPr>
      </w:pPr>
      <w:r w:rsidRPr="009A09FD">
        <w:rPr>
          <w:b/>
          <w:snapToGrid w:val="0"/>
        </w:rPr>
        <w:t>[</w:t>
      </w:r>
      <w:r w:rsidRPr="009A09FD" w:rsidR="006018E5">
        <w:rPr>
          <w:b/>
          <w:snapToGrid w:val="0"/>
        </w:rPr>
        <w:t>I</w:t>
      </w:r>
      <w:r w:rsidRPr="009A09FD">
        <w:rPr>
          <w:b/>
          <w:snapToGrid w:val="0"/>
        </w:rPr>
        <w:t>nsert names]</w:t>
      </w:r>
      <w:r w:rsidRPr="009A09FD" w:rsidR="004E1BAC">
        <w:rPr>
          <w:b/>
          <w:bCs/>
          <w:snapToGrid w:val="0"/>
        </w:rPr>
        <w:t xml:space="preserve"> </w:t>
      </w:r>
      <w:r w:rsidRPr="009A09FD" w:rsidR="003D276C">
        <w:rPr>
          <w:bCs/>
          <w:snapToGrid w:val="0"/>
        </w:rPr>
        <w:t>are collectively referred to as the “</w:t>
      </w:r>
      <w:r w:rsidRPr="009A09FD" w:rsidR="003D276C">
        <w:rPr>
          <w:b/>
          <w:snapToGrid w:val="0"/>
        </w:rPr>
        <w:t>Founders</w:t>
      </w:r>
      <w:r w:rsidRPr="009A09FD" w:rsidR="003D276C">
        <w:rPr>
          <w:bCs/>
          <w:snapToGrid w:val="0"/>
        </w:rPr>
        <w:t xml:space="preserve">”; </w:t>
      </w:r>
      <w:r w:rsidRPr="009A09FD">
        <w:rPr>
          <w:snapToGrid w:val="0"/>
          <w:szCs w:val="22"/>
        </w:rPr>
        <w:t xml:space="preserve"> </w:t>
      </w:r>
      <w:r w:rsidRPr="009A09FD" w:rsidR="0043448F">
        <w:rPr>
          <w:b/>
          <w:snapToGrid w:val="0"/>
        </w:rPr>
        <w:t>[</w:t>
      </w:r>
      <w:r w:rsidRPr="009A09FD" w:rsidR="006018E5">
        <w:rPr>
          <w:b/>
          <w:snapToGrid w:val="0"/>
        </w:rPr>
        <w:t>I</w:t>
      </w:r>
      <w:r w:rsidRPr="009A09FD" w:rsidR="0043448F">
        <w:rPr>
          <w:b/>
          <w:snapToGrid w:val="0"/>
        </w:rPr>
        <w:t>nsert names]</w:t>
      </w:r>
      <w:r w:rsidRPr="009A09FD" w:rsidR="0043448F">
        <w:rPr>
          <w:b/>
          <w:bCs/>
          <w:snapToGrid w:val="0"/>
        </w:rPr>
        <w:t xml:space="preserve"> </w:t>
      </w:r>
      <w:r w:rsidRPr="009A09FD">
        <w:rPr>
          <w:snapToGrid w:val="0"/>
          <w:szCs w:val="22"/>
        </w:rPr>
        <w:t>(</w:t>
      </w:r>
      <w:r w:rsidRPr="009A09FD" w:rsidR="003D276C">
        <w:rPr>
          <w:snapToGrid w:val="0"/>
          <w:szCs w:val="22"/>
        </w:rPr>
        <w:t>the “</w:t>
      </w:r>
      <w:r w:rsidRPr="009A09FD" w:rsidR="003D276C">
        <w:rPr>
          <w:b/>
          <w:bCs/>
          <w:snapToGrid w:val="0"/>
          <w:szCs w:val="22"/>
        </w:rPr>
        <w:t>Founder Entities</w:t>
      </w:r>
      <w:r w:rsidRPr="009A09FD" w:rsidR="003D276C">
        <w:rPr>
          <w:snapToGrid w:val="0"/>
          <w:szCs w:val="22"/>
        </w:rPr>
        <w:t>”</w:t>
      </w:r>
      <w:r w:rsidRPr="009A09FD" w:rsidR="00EB44E5">
        <w:rPr>
          <w:snapToGrid w:val="0"/>
          <w:szCs w:val="22"/>
        </w:rPr>
        <w:t>)</w:t>
      </w:r>
      <w:r w:rsidRPr="009A09FD" w:rsidR="003D276C">
        <w:rPr>
          <w:snapToGrid w:val="0"/>
          <w:szCs w:val="22"/>
        </w:rPr>
        <w:t>; the Founders and the Founder Entities are collectively referred to as the “</w:t>
      </w:r>
      <w:r w:rsidRPr="009A09FD" w:rsidR="00A4266A">
        <w:rPr>
          <w:b/>
          <w:bCs/>
          <w:snapToGrid w:val="0"/>
          <w:szCs w:val="22"/>
        </w:rPr>
        <w:t>Warranting Shareholders</w:t>
      </w:r>
      <w:r w:rsidRPr="009A09FD" w:rsidR="00A4266A">
        <w:rPr>
          <w:snapToGrid w:val="0"/>
          <w:szCs w:val="22"/>
        </w:rPr>
        <w:t>” and the Company and the Warranting Shareholders are collectively referred to as the “</w:t>
      </w:r>
      <w:r w:rsidRPr="009A09FD" w:rsidR="003D276C">
        <w:rPr>
          <w:b/>
          <w:bCs/>
          <w:snapToGrid w:val="0"/>
          <w:szCs w:val="22"/>
        </w:rPr>
        <w:t>Warrantors</w:t>
      </w:r>
      <w:r w:rsidRPr="009A09FD" w:rsidR="003D276C">
        <w:rPr>
          <w:snapToGrid w:val="0"/>
          <w:szCs w:val="22"/>
        </w:rPr>
        <w:t xml:space="preserve">” in this Agreement. </w:t>
      </w:r>
    </w:p>
    <w:p w:rsidR="001C5107" w:rsidRPr="009A09FD" w:rsidP="00A469A2" w14:paraId="0CCB5E93" w14:textId="34E2EF08">
      <w:pPr>
        <w:pStyle w:val="BodyText0"/>
        <w:rPr>
          <w:snapToGrid w:val="0"/>
        </w:rPr>
      </w:pPr>
      <w:r w:rsidRPr="009A09FD">
        <w:rPr>
          <w:snapToGrid w:val="0"/>
        </w:rPr>
        <w:t>The International Offer Shares to be sold under this Agreement will be offered, without being registered under the United States Securities Act of 1933, as amended (the “</w:t>
      </w:r>
      <w:r w:rsidRPr="009A09FD">
        <w:rPr>
          <w:b/>
          <w:snapToGrid w:val="0"/>
        </w:rPr>
        <w:t>Securities Act</w:t>
      </w:r>
      <w:r w:rsidRPr="009A09FD">
        <w:rPr>
          <w:snapToGrid w:val="0"/>
        </w:rPr>
        <w:t>”),</w:t>
      </w:r>
      <w:r w:rsidRPr="009A09FD" w:rsidR="00FA74B6">
        <w:rPr>
          <w:snapToGrid w:val="0"/>
        </w:rPr>
        <w:t xml:space="preserve"> in the United States (“</w:t>
      </w:r>
      <w:r w:rsidRPr="009A09FD" w:rsidR="00FA74B6">
        <w:rPr>
          <w:b/>
          <w:bCs/>
          <w:snapToGrid w:val="0"/>
        </w:rPr>
        <w:t>U.S.</w:t>
      </w:r>
      <w:r w:rsidRPr="009A09FD" w:rsidR="00FA74B6">
        <w:rPr>
          <w:snapToGrid w:val="0"/>
        </w:rPr>
        <w:t>”) to qualified institutional buyers in reliance on Rule 144A under the Securities Act (“</w:t>
      </w:r>
      <w:r w:rsidRPr="009A09FD" w:rsidR="00FA74B6">
        <w:rPr>
          <w:b/>
          <w:bCs/>
          <w:snapToGrid w:val="0"/>
        </w:rPr>
        <w:t>Rule 144A</w:t>
      </w:r>
      <w:r w:rsidRPr="009A09FD" w:rsidR="00FA74B6">
        <w:rPr>
          <w:snapToGrid w:val="0"/>
        </w:rPr>
        <w:t>”) or another applicable exemption from, or in transactions not subject to, the registration requirements under the Securities Act, and</w:t>
      </w:r>
      <w:r w:rsidRPr="009A09FD">
        <w:rPr>
          <w:b/>
          <w:snapToGrid w:val="0"/>
        </w:rPr>
        <w:t xml:space="preserve"> </w:t>
      </w:r>
      <w:r w:rsidRPr="009A09FD">
        <w:rPr>
          <w:snapToGrid w:val="0"/>
        </w:rPr>
        <w:t>outside the United States in offshore transactions in reliance on Regulation S under the Securities Act (“</w:t>
      </w:r>
      <w:r w:rsidRPr="009A09FD">
        <w:rPr>
          <w:b/>
          <w:snapToGrid w:val="0"/>
        </w:rPr>
        <w:t>Regulation S</w:t>
      </w:r>
      <w:r w:rsidRPr="009A09FD">
        <w:rPr>
          <w:snapToGrid w:val="0"/>
        </w:rPr>
        <w:t>”).</w:t>
      </w:r>
    </w:p>
    <w:p w:rsidR="001C5107" w:rsidRPr="009A09FD" w:rsidP="00A469A2" w14:paraId="70F7F45B" w14:textId="7960773C">
      <w:pPr>
        <w:pStyle w:val="BodyText0"/>
        <w:rPr>
          <w:snapToGrid w:val="0"/>
        </w:rPr>
      </w:pPr>
      <w:r w:rsidRPr="009A09FD">
        <w:rPr>
          <w:snapToGrid w:val="0"/>
        </w:rPr>
        <w:t>The offering and sale of the International Offer Shares under this Agreement is herein referred to as the “</w:t>
      </w:r>
      <w:r w:rsidRPr="009A09FD">
        <w:rPr>
          <w:b/>
          <w:snapToGrid w:val="0"/>
        </w:rPr>
        <w:t>International Offering</w:t>
      </w:r>
      <w:r w:rsidRPr="009A09FD">
        <w:rPr>
          <w:snapToGrid w:val="0"/>
        </w:rPr>
        <w:t xml:space="preserve">”.  The International Offering includes a placing of </w:t>
      </w:r>
      <w:r w:rsidRPr="009A09FD" w:rsidR="00F90C73">
        <w:rPr>
          <w:b/>
          <w:bCs/>
          <w:snapToGrid w:val="0"/>
        </w:rPr>
        <w:t>[</w:t>
      </w:r>
      <w:r w:rsidRPr="009A09FD" w:rsidR="006018E5">
        <w:rPr>
          <w:b/>
          <w:bCs/>
          <w:snapToGrid w:val="0"/>
        </w:rPr>
        <w:t>I</w:t>
      </w:r>
      <w:r w:rsidRPr="009A09FD" w:rsidR="00F90C73">
        <w:rPr>
          <w:b/>
          <w:bCs/>
          <w:snapToGrid w:val="0"/>
        </w:rPr>
        <w:t>nsert the number of Cornerstone Shares]</w:t>
      </w:r>
      <w:r w:rsidRPr="009A09FD">
        <w:rPr>
          <w:snapToGrid w:val="0"/>
        </w:rPr>
        <w:t xml:space="preserve"> Shares (the “</w:t>
      </w:r>
      <w:r w:rsidRPr="009A09FD">
        <w:rPr>
          <w:b/>
          <w:snapToGrid w:val="0"/>
        </w:rPr>
        <w:t>Cornerstone Shares</w:t>
      </w:r>
      <w:r w:rsidRPr="009A09FD">
        <w:rPr>
          <w:snapToGrid w:val="0"/>
        </w:rPr>
        <w:t>”)</w:t>
      </w:r>
      <w:r w:rsidRPr="009A09FD">
        <w:rPr>
          <w:b/>
          <w:snapToGrid w:val="0"/>
        </w:rPr>
        <w:t xml:space="preserve"> </w:t>
      </w:r>
      <w:r w:rsidRPr="009A09FD">
        <w:rPr>
          <w:snapToGrid w:val="0"/>
        </w:rPr>
        <w:t xml:space="preserve">to the investors named in </w:t>
      </w:r>
      <w:r w:rsidRPr="009A09FD" w:rsidR="00604886">
        <w:rPr>
          <w:snapToGrid w:val="0"/>
        </w:rPr>
        <w:fldChar w:fldCharType="begin"/>
      </w:r>
      <w:r w:rsidRPr="009A09FD" w:rsidR="00604886">
        <w:rPr>
          <w:snapToGrid w:val="0"/>
        </w:rPr>
        <w:instrText xml:space="preserve"> REF _Ref155101171 \r \h </w:instrText>
      </w:r>
      <w:r w:rsidR="009A09FD">
        <w:rPr>
          <w:snapToGrid w:val="0"/>
        </w:rPr>
        <w:instrText xml:space="preserve"> \* MERGEFORMAT </w:instrText>
      </w:r>
      <w:r w:rsidRPr="009A09FD" w:rsidR="00604886">
        <w:rPr>
          <w:snapToGrid w:val="0"/>
        </w:rPr>
        <w:fldChar w:fldCharType="separate"/>
      </w:r>
      <w:r w:rsidRPr="009A09FD" w:rsidR="00ED2E07">
        <w:rPr>
          <w:snapToGrid w:val="0"/>
        </w:rPr>
        <w:t>Schedule II</w:t>
      </w:r>
      <w:r w:rsidRPr="009A09FD" w:rsidR="00604886">
        <w:rPr>
          <w:snapToGrid w:val="0"/>
        </w:rPr>
        <w:fldChar w:fldCharType="end"/>
      </w:r>
      <w:r w:rsidRPr="009A09FD">
        <w:rPr>
          <w:snapToGrid w:val="0"/>
        </w:rPr>
        <w:t xml:space="preserve"> hereto (“</w:t>
      </w:r>
      <w:r w:rsidRPr="009A09FD">
        <w:rPr>
          <w:b/>
          <w:snapToGrid w:val="0"/>
        </w:rPr>
        <w:t>Cornerstone Investors</w:t>
      </w:r>
      <w:r w:rsidRPr="009A09FD">
        <w:rPr>
          <w:snapToGrid w:val="0"/>
        </w:rPr>
        <w:t xml:space="preserve">”) pursuant to the cornerstone investor agreements among the Company, </w:t>
      </w:r>
      <w:r w:rsidRPr="009A09FD" w:rsidR="00C83D8B">
        <w:rPr>
          <w:snapToGrid w:val="0"/>
        </w:rPr>
        <w:t xml:space="preserve">the Joint Sponsors, </w:t>
      </w:r>
      <w:r w:rsidRPr="009A09FD" w:rsidR="00157318">
        <w:rPr>
          <w:snapToGrid w:val="0"/>
        </w:rPr>
        <w:t xml:space="preserve">the Overall Coordinators, </w:t>
      </w:r>
      <w:r w:rsidRPr="009A09FD" w:rsidR="00C83D8B">
        <w:rPr>
          <w:snapToGrid w:val="0"/>
        </w:rPr>
        <w:t xml:space="preserve">the Joint Global Coordinators, certain </w:t>
      </w:r>
      <w:r w:rsidRPr="009A09FD" w:rsidR="002E5535">
        <w:rPr>
          <w:snapToGrid w:val="0"/>
        </w:rPr>
        <w:t>I</w:t>
      </w:r>
      <w:r w:rsidRPr="009A09FD" w:rsidR="00C83D8B">
        <w:rPr>
          <w:snapToGrid w:val="0"/>
        </w:rPr>
        <w:t>nternational Underwriters and</w:t>
      </w:r>
      <w:r w:rsidRPr="009A09FD" w:rsidR="004C5B38">
        <w:rPr>
          <w:snapToGrid w:val="0"/>
        </w:rPr>
        <w:t xml:space="preserve"> </w:t>
      </w:r>
      <w:r w:rsidRPr="009A09FD">
        <w:rPr>
          <w:snapToGrid w:val="0"/>
        </w:rPr>
        <w:t>each of the Cornerstone Investors</w:t>
      </w:r>
      <w:r w:rsidRPr="009A09FD" w:rsidR="009010CC">
        <w:rPr>
          <w:snapToGrid w:val="0"/>
        </w:rPr>
        <w:t xml:space="preserve"> </w:t>
      </w:r>
      <w:r w:rsidRPr="009A09FD">
        <w:rPr>
          <w:snapToGrid w:val="0"/>
        </w:rPr>
        <w:t xml:space="preserve">providing for, among other things, the purchase by the Cornerstone Investors of the respective number of Shares as set out opposite their respective names in </w:t>
      </w:r>
      <w:r w:rsidRPr="009A09FD" w:rsidR="00604886">
        <w:rPr>
          <w:snapToGrid w:val="0"/>
        </w:rPr>
        <w:fldChar w:fldCharType="begin"/>
      </w:r>
      <w:r w:rsidRPr="009A09FD" w:rsidR="00604886">
        <w:rPr>
          <w:snapToGrid w:val="0"/>
        </w:rPr>
        <w:instrText xml:space="preserve"> REF _Ref155101171 \r \h </w:instrText>
      </w:r>
      <w:r w:rsidR="009A09FD">
        <w:rPr>
          <w:snapToGrid w:val="0"/>
        </w:rPr>
        <w:instrText xml:space="preserve"> \* MERGEFORMAT </w:instrText>
      </w:r>
      <w:r w:rsidRPr="009A09FD" w:rsidR="00604886">
        <w:rPr>
          <w:snapToGrid w:val="0"/>
        </w:rPr>
        <w:fldChar w:fldCharType="separate"/>
      </w:r>
      <w:r w:rsidRPr="009A09FD" w:rsidR="00ED2E07">
        <w:rPr>
          <w:snapToGrid w:val="0"/>
        </w:rPr>
        <w:t>Schedule II</w:t>
      </w:r>
      <w:r w:rsidRPr="009A09FD" w:rsidR="00604886">
        <w:rPr>
          <w:snapToGrid w:val="0"/>
        </w:rPr>
        <w:fldChar w:fldCharType="end"/>
      </w:r>
      <w:r w:rsidRPr="009A09FD">
        <w:rPr>
          <w:snapToGrid w:val="0"/>
        </w:rPr>
        <w:t xml:space="preserve"> </w:t>
      </w:r>
      <w:r w:rsidRPr="009A09FD" w:rsidR="009D5AB4">
        <w:rPr>
          <w:snapToGrid w:val="0"/>
        </w:rPr>
        <w:t xml:space="preserve">hereto </w:t>
      </w:r>
      <w:r w:rsidRPr="009A09FD">
        <w:rPr>
          <w:snapToGrid w:val="0"/>
        </w:rPr>
        <w:t>(the “</w:t>
      </w:r>
      <w:r w:rsidRPr="009A09FD">
        <w:rPr>
          <w:b/>
          <w:snapToGrid w:val="0"/>
        </w:rPr>
        <w:t>Cornerstone Investment Agreements</w:t>
      </w:r>
      <w:r w:rsidRPr="009A09FD">
        <w:rPr>
          <w:snapToGrid w:val="0"/>
        </w:rPr>
        <w:t xml:space="preserve">”). </w:t>
      </w:r>
    </w:p>
    <w:p w:rsidR="001C5107" w:rsidRPr="009A09FD" w:rsidP="00A469A2" w14:paraId="736647C8" w14:textId="2F880CD0">
      <w:pPr>
        <w:pStyle w:val="BodyText0"/>
        <w:rPr>
          <w:snapToGrid w:val="0"/>
        </w:rPr>
      </w:pPr>
      <w:r w:rsidRPr="009A09FD">
        <w:rPr>
          <w:snapToGrid w:val="0"/>
        </w:rPr>
        <w:t xml:space="preserve">The Company has entered into an agreement dated </w:t>
      </w:r>
      <w:r w:rsidRPr="009A09FD" w:rsidR="00E740FC">
        <w:rPr>
          <w:b/>
          <w:bCs/>
          <w:snapToGrid w:val="0"/>
        </w:rPr>
        <w:t>[</w:t>
      </w:r>
      <w:r w:rsidRPr="009A09FD" w:rsidR="006018E5">
        <w:rPr>
          <w:b/>
          <w:bCs/>
          <w:snapToGrid w:val="0"/>
        </w:rPr>
        <w:t>I</w:t>
      </w:r>
      <w:r w:rsidRPr="009A09FD" w:rsidR="00E740FC">
        <w:rPr>
          <w:b/>
          <w:bCs/>
          <w:snapToGrid w:val="0"/>
        </w:rPr>
        <w:t>nsert date]</w:t>
      </w:r>
      <w:r w:rsidRPr="009A09FD" w:rsidR="00E26AB0">
        <w:rPr>
          <w:snapToGrid w:val="0"/>
        </w:rPr>
        <w:t xml:space="preserve"> </w:t>
      </w:r>
      <w:r w:rsidRPr="009A09FD">
        <w:rPr>
          <w:snapToGrid w:val="0"/>
        </w:rPr>
        <w:t>(the “</w:t>
      </w:r>
      <w:r w:rsidRPr="009A09FD">
        <w:rPr>
          <w:b/>
          <w:snapToGrid w:val="0"/>
        </w:rPr>
        <w:t>Hong Kong Underwriting Agreement</w:t>
      </w:r>
      <w:r w:rsidRPr="009A09FD">
        <w:rPr>
          <w:snapToGrid w:val="0"/>
        </w:rPr>
        <w:t>”)</w:t>
      </w:r>
      <w:r w:rsidRPr="009A09FD">
        <w:rPr>
          <w:b/>
          <w:snapToGrid w:val="0"/>
        </w:rPr>
        <w:t xml:space="preserve"> </w:t>
      </w:r>
      <w:r w:rsidRPr="009A09FD">
        <w:rPr>
          <w:snapToGrid w:val="0"/>
        </w:rPr>
        <w:t xml:space="preserve">relating to the concurrent offering and sale by the Company to </w:t>
      </w:r>
      <w:r w:rsidRPr="009A09FD">
        <w:rPr>
          <w:snapToGrid w:val="0"/>
        </w:rPr>
        <w:t>the public in the Hong Kong Special Administrative Region (“</w:t>
      </w:r>
      <w:r w:rsidRPr="009A09FD">
        <w:rPr>
          <w:b/>
          <w:snapToGrid w:val="0"/>
        </w:rPr>
        <w:t>Hong Kong</w:t>
      </w:r>
      <w:r w:rsidRPr="009A09FD">
        <w:rPr>
          <w:snapToGrid w:val="0"/>
        </w:rPr>
        <w:t>”) of the People’s Republic of China (</w:t>
      </w:r>
      <w:r w:rsidRPr="009A09FD" w:rsidR="00E07C8C">
        <w:rPr>
          <w:snapToGrid w:val="0"/>
        </w:rPr>
        <w:t xml:space="preserve">the </w:t>
      </w:r>
      <w:r w:rsidRPr="009A09FD">
        <w:rPr>
          <w:snapToGrid w:val="0"/>
        </w:rPr>
        <w:t>“</w:t>
      </w:r>
      <w:r w:rsidRPr="009A09FD">
        <w:rPr>
          <w:b/>
          <w:snapToGrid w:val="0"/>
        </w:rPr>
        <w:t>PRC</w:t>
      </w:r>
      <w:r w:rsidRPr="009A09FD">
        <w:rPr>
          <w:snapToGrid w:val="0"/>
        </w:rPr>
        <w:t xml:space="preserve">”) of initially an aggregate of </w:t>
      </w:r>
      <w:r w:rsidRPr="009A09FD" w:rsidR="00B7377F">
        <w:rPr>
          <w:snapToGrid w:val="0"/>
        </w:rPr>
        <w:t>[</w:t>
      </w:r>
      <w:r w:rsidRPr="009A09FD" w:rsidR="00B7377F">
        <w:rPr>
          <w:b/>
          <w:i/>
          <w:iCs/>
          <w:snapToGrid w:val="0"/>
        </w:rPr>
        <w:t>insert the number of initial Hong Kong Offer Shares]</w:t>
      </w:r>
      <w:r w:rsidRPr="009A09FD">
        <w:rPr>
          <w:b/>
          <w:i/>
          <w:iCs/>
          <w:snapToGrid w:val="0"/>
        </w:rPr>
        <w:t xml:space="preserve"> </w:t>
      </w:r>
      <w:r w:rsidRPr="009A09FD">
        <w:rPr>
          <w:snapToGrid w:val="0"/>
        </w:rPr>
        <w:t>Shares (the “</w:t>
      </w:r>
      <w:r w:rsidRPr="009A09FD">
        <w:rPr>
          <w:b/>
          <w:snapToGrid w:val="0"/>
        </w:rPr>
        <w:t>Hong Kong Offer Shares</w:t>
      </w:r>
      <w:r w:rsidRPr="009A09FD">
        <w:rPr>
          <w:snapToGrid w:val="0"/>
        </w:rPr>
        <w:t>”), to be underwritten through arrangements with certain underwriters in Hong Kong (the “</w:t>
      </w:r>
      <w:r w:rsidRPr="009A09FD">
        <w:rPr>
          <w:b/>
          <w:snapToGrid w:val="0"/>
        </w:rPr>
        <w:t>Hong Kong Underwriters</w:t>
      </w:r>
      <w:r w:rsidRPr="009A09FD">
        <w:rPr>
          <w:snapToGrid w:val="0"/>
        </w:rPr>
        <w:t>”).  The offering and sale of the Hong Kong Offer Shares is herein referred to as the “</w:t>
      </w:r>
      <w:r w:rsidRPr="009A09FD">
        <w:rPr>
          <w:b/>
          <w:snapToGrid w:val="0"/>
        </w:rPr>
        <w:t>Hong Kong Public Offering</w:t>
      </w:r>
      <w:r w:rsidRPr="009A09FD">
        <w:rPr>
          <w:snapToGrid w:val="0"/>
        </w:rPr>
        <w:t>”.  Except as the context may otherwise require, the International Offering and the Hong Kong Public Offering are referred to herein collectively as the “</w:t>
      </w:r>
      <w:r w:rsidRPr="009A09FD">
        <w:rPr>
          <w:b/>
          <w:snapToGrid w:val="0"/>
        </w:rPr>
        <w:t>Global Offering</w:t>
      </w:r>
      <w:r w:rsidRPr="009A09FD">
        <w:rPr>
          <w:snapToGrid w:val="0"/>
        </w:rPr>
        <w:t>”, the Hong Kong Underwriters and the International Underwriters are referred to herein collectively as the “</w:t>
      </w:r>
      <w:r w:rsidRPr="009A09FD">
        <w:rPr>
          <w:b/>
          <w:snapToGrid w:val="0"/>
        </w:rPr>
        <w:t>Underwriters</w:t>
      </w:r>
      <w:r w:rsidRPr="009A09FD">
        <w:rPr>
          <w:snapToGrid w:val="0"/>
        </w:rPr>
        <w:t>”, and the International Offer Shares and the Hong Kong Offer Shares are referred to herein collectively as the “</w:t>
      </w:r>
      <w:r w:rsidRPr="009A09FD">
        <w:rPr>
          <w:b/>
          <w:snapToGrid w:val="0"/>
        </w:rPr>
        <w:t>Offer Shares</w:t>
      </w:r>
      <w:r w:rsidRPr="009A09FD">
        <w:rPr>
          <w:snapToGrid w:val="0"/>
        </w:rPr>
        <w:t>”.  Anything herein or therein to the contrary notwithstanding, the respective closings under this Agreement and the Hong Kong Underwriting Agreement are hereby made expressly conditional on one another.</w:t>
      </w:r>
    </w:p>
    <w:p w:rsidR="001C5107" w:rsidRPr="009A09FD" w:rsidP="00A469A2" w14:paraId="35DCC642" w14:textId="462780B7">
      <w:pPr>
        <w:pStyle w:val="BodyText0"/>
        <w:rPr>
          <w:snapToGrid w:val="0"/>
        </w:rPr>
      </w:pPr>
      <w:r w:rsidRPr="009A09FD">
        <w:rPr>
          <w:snapToGrid w:val="0"/>
        </w:rPr>
        <w:t>The International Offer Shares and the Hong Kong Offer Shares are being offered at an identical price of HK$</w:t>
      </w:r>
      <w:r w:rsidRPr="009A09FD" w:rsidR="00797184">
        <w:rPr>
          <w:b/>
          <w:bCs/>
          <w:snapToGrid w:val="0"/>
        </w:rPr>
        <w:t>[</w:t>
      </w:r>
      <w:r w:rsidRPr="009A09FD" w:rsidR="006018E5">
        <w:rPr>
          <w:b/>
          <w:bCs/>
          <w:snapToGrid w:val="0"/>
        </w:rPr>
        <w:t>I</w:t>
      </w:r>
      <w:r w:rsidRPr="009A09FD" w:rsidR="00797184">
        <w:rPr>
          <w:b/>
          <w:bCs/>
          <w:snapToGrid w:val="0"/>
        </w:rPr>
        <w:t>nsert Offer Price of Hong Kong Offer Shares]</w:t>
      </w:r>
      <w:r w:rsidRPr="009A09FD">
        <w:rPr>
          <w:snapToGrid w:val="0"/>
        </w:rPr>
        <w:t xml:space="preserve"> per </w:t>
      </w:r>
      <w:r w:rsidRPr="009A09FD">
        <w:rPr>
          <w:rFonts w:hint="eastAsia"/>
          <w:snapToGrid w:val="0"/>
        </w:rPr>
        <w:t>Share</w:t>
      </w:r>
      <w:r w:rsidRPr="009A09FD">
        <w:rPr>
          <w:snapToGrid w:val="0"/>
        </w:rPr>
        <w:t xml:space="preserve"> (the “</w:t>
      </w:r>
      <w:r w:rsidRPr="009A09FD">
        <w:rPr>
          <w:b/>
          <w:snapToGrid w:val="0"/>
        </w:rPr>
        <w:t>Offer Price</w:t>
      </w:r>
      <w:r w:rsidRPr="009A09FD">
        <w:rPr>
          <w:snapToGrid w:val="0"/>
        </w:rPr>
        <w:t xml:space="preserve">”), </w:t>
      </w:r>
      <w:r w:rsidRPr="009A09FD" w:rsidR="008F04A4">
        <w:rPr>
          <w:snapToGrid w:val="0"/>
        </w:rPr>
        <w:t xml:space="preserve">which is exclusive of a </w:t>
      </w:r>
      <w:r w:rsidRPr="009A09FD" w:rsidR="00A77640">
        <w:rPr>
          <w:snapToGrid w:val="0"/>
        </w:rPr>
        <w:t xml:space="preserve">brokerage </w:t>
      </w:r>
      <w:r w:rsidRPr="009A09FD" w:rsidR="006B6E25">
        <w:rPr>
          <w:snapToGrid w:val="0"/>
        </w:rPr>
        <w:t xml:space="preserve">fee per Share </w:t>
      </w:r>
      <w:r w:rsidRPr="009A09FD" w:rsidR="00A77640">
        <w:rPr>
          <w:snapToGrid w:val="0"/>
        </w:rPr>
        <w:t xml:space="preserve">of </w:t>
      </w:r>
      <w:r w:rsidRPr="009A09FD" w:rsidR="00BF4653">
        <w:rPr>
          <w:snapToGrid w:val="0"/>
        </w:rPr>
        <w:t>[</w:t>
      </w:r>
      <w:r w:rsidRPr="009A09FD" w:rsidR="00A77640">
        <w:rPr>
          <w:snapToGrid w:val="0"/>
        </w:rPr>
        <w:t>1.0</w:t>
      </w:r>
      <w:r w:rsidRPr="009A09FD" w:rsidR="00BF4653">
        <w:rPr>
          <w:snapToGrid w:val="0"/>
        </w:rPr>
        <w:t>]</w:t>
      </w:r>
      <w:r w:rsidRPr="009A09FD" w:rsidR="00A77640">
        <w:rPr>
          <w:snapToGrid w:val="0"/>
        </w:rPr>
        <w:t>%</w:t>
      </w:r>
      <w:r>
        <w:rPr>
          <w:rStyle w:val="FootnoteReference"/>
          <w:szCs w:val="22"/>
        </w:rPr>
        <w:footnoteReference w:id="6"/>
      </w:r>
      <w:r w:rsidRPr="009A09FD" w:rsidR="00A77640">
        <w:rPr>
          <w:snapToGrid w:val="0"/>
        </w:rPr>
        <w:t xml:space="preserve"> (the “</w:t>
      </w:r>
      <w:r w:rsidRPr="009A09FD" w:rsidR="00A77640">
        <w:rPr>
          <w:b/>
          <w:snapToGrid w:val="0"/>
        </w:rPr>
        <w:t>Brokerage</w:t>
      </w:r>
      <w:r w:rsidRPr="009A09FD" w:rsidR="00A77640">
        <w:rPr>
          <w:snapToGrid w:val="0"/>
        </w:rPr>
        <w:t xml:space="preserve">”), SFC transaction levy </w:t>
      </w:r>
      <w:r w:rsidRPr="009A09FD" w:rsidR="00E356A0">
        <w:rPr>
          <w:snapToGrid w:val="0"/>
        </w:rPr>
        <w:t xml:space="preserve">per Share </w:t>
      </w:r>
      <w:r w:rsidRPr="009A09FD" w:rsidR="00A77640">
        <w:rPr>
          <w:snapToGrid w:val="0"/>
        </w:rPr>
        <w:t xml:space="preserve">of </w:t>
      </w:r>
      <w:r w:rsidRPr="009A09FD" w:rsidR="00BF4653">
        <w:rPr>
          <w:snapToGrid w:val="0"/>
        </w:rPr>
        <w:t>[</w:t>
      </w:r>
      <w:r w:rsidRPr="009A09FD" w:rsidR="00A77640">
        <w:rPr>
          <w:snapToGrid w:val="0"/>
        </w:rPr>
        <w:t>0.0027</w:t>
      </w:r>
      <w:r w:rsidRPr="009A09FD" w:rsidR="00BF4653">
        <w:rPr>
          <w:snapToGrid w:val="0"/>
        </w:rPr>
        <w:t>]</w:t>
      </w:r>
      <w:r w:rsidRPr="009A09FD" w:rsidR="00A77640">
        <w:rPr>
          <w:snapToGrid w:val="0"/>
        </w:rPr>
        <w:t>%</w:t>
      </w:r>
      <w:r>
        <w:rPr>
          <w:rStyle w:val="FootnoteReference"/>
          <w:szCs w:val="22"/>
        </w:rPr>
        <w:footnoteReference w:id="7"/>
      </w:r>
      <w:r w:rsidRPr="009A09FD" w:rsidR="00786BCA">
        <w:rPr>
          <w:snapToGrid w:val="0"/>
        </w:rPr>
        <w:t xml:space="preserve"> (the “</w:t>
      </w:r>
      <w:r w:rsidRPr="009A09FD" w:rsidR="00786BCA">
        <w:rPr>
          <w:b/>
          <w:snapToGrid w:val="0"/>
        </w:rPr>
        <w:t>SFC Transaction Levy</w:t>
      </w:r>
      <w:r w:rsidRPr="009A09FD" w:rsidR="00786BCA">
        <w:rPr>
          <w:snapToGrid w:val="0"/>
        </w:rPr>
        <w:t>”)</w:t>
      </w:r>
      <w:r w:rsidRPr="009A09FD" w:rsidR="004E3E9D">
        <w:rPr>
          <w:snapToGrid w:val="0"/>
        </w:rPr>
        <w:t xml:space="preserve"> imposed by the Securities and Futures Commission of Hong Kong (the “</w:t>
      </w:r>
      <w:r w:rsidRPr="009A09FD" w:rsidR="004E3E9D">
        <w:rPr>
          <w:b/>
          <w:snapToGrid w:val="0"/>
        </w:rPr>
        <w:t>SFC</w:t>
      </w:r>
      <w:r w:rsidRPr="009A09FD" w:rsidR="004E3E9D">
        <w:rPr>
          <w:snapToGrid w:val="0"/>
        </w:rPr>
        <w:t>”)</w:t>
      </w:r>
      <w:r w:rsidRPr="009A09FD" w:rsidR="00A77640">
        <w:rPr>
          <w:snapToGrid w:val="0"/>
        </w:rPr>
        <w:t xml:space="preserve">, AFRC transaction levy </w:t>
      </w:r>
      <w:r w:rsidRPr="009A09FD" w:rsidR="00790396">
        <w:rPr>
          <w:snapToGrid w:val="0"/>
        </w:rPr>
        <w:t xml:space="preserve">per Share </w:t>
      </w:r>
      <w:r w:rsidRPr="009A09FD" w:rsidR="00A77640">
        <w:rPr>
          <w:snapToGrid w:val="0"/>
        </w:rPr>
        <w:t xml:space="preserve">of </w:t>
      </w:r>
      <w:r w:rsidRPr="009A09FD" w:rsidR="00BF4653">
        <w:rPr>
          <w:snapToGrid w:val="0"/>
        </w:rPr>
        <w:t>[</w:t>
      </w:r>
      <w:r w:rsidRPr="009A09FD" w:rsidR="00A77640">
        <w:rPr>
          <w:snapToGrid w:val="0"/>
        </w:rPr>
        <w:t>0.00015</w:t>
      </w:r>
      <w:r w:rsidRPr="009A09FD" w:rsidR="00BF4653">
        <w:rPr>
          <w:snapToGrid w:val="0"/>
        </w:rPr>
        <w:t>]</w:t>
      </w:r>
      <w:r w:rsidRPr="009A09FD" w:rsidR="00A77640">
        <w:rPr>
          <w:snapToGrid w:val="0"/>
        </w:rPr>
        <w:t>%</w:t>
      </w:r>
      <w:r>
        <w:rPr>
          <w:rStyle w:val="FootnoteReference"/>
        </w:rPr>
        <w:footnoteReference w:id="8"/>
      </w:r>
      <w:r w:rsidRPr="009A09FD" w:rsidR="00A77640">
        <w:rPr>
          <w:snapToGrid w:val="0"/>
        </w:rPr>
        <w:t xml:space="preserve"> </w:t>
      </w:r>
      <w:r w:rsidRPr="009A09FD" w:rsidR="004E3E9D">
        <w:rPr>
          <w:snapToGrid w:val="0"/>
        </w:rPr>
        <w:t>(the “</w:t>
      </w:r>
      <w:r w:rsidRPr="009A09FD" w:rsidR="004E3E9D">
        <w:rPr>
          <w:b/>
          <w:snapToGrid w:val="0"/>
        </w:rPr>
        <w:t>AFRC Transaction Levy</w:t>
      </w:r>
      <w:r w:rsidRPr="009A09FD" w:rsidR="004E3E9D">
        <w:rPr>
          <w:snapToGrid w:val="0"/>
        </w:rPr>
        <w:t>”)</w:t>
      </w:r>
      <w:r w:rsidRPr="009A09FD" w:rsidR="00E21E3D">
        <w:rPr>
          <w:snapToGrid w:val="0"/>
        </w:rPr>
        <w:t xml:space="preserve"> </w:t>
      </w:r>
      <w:r w:rsidRPr="009A09FD" w:rsidR="003F62C3">
        <w:rPr>
          <w:snapToGrid w:val="0"/>
        </w:rPr>
        <w:t>imposed by the Accounting and Financial Reporting Council (the “</w:t>
      </w:r>
      <w:r w:rsidRPr="009A09FD" w:rsidR="003F62C3">
        <w:rPr>
          <w:b/>
          <w:snapToGrid w:val="0"/>
        </w:rPr>
        <w:t>AFRC</w:t>
      </w:r>
      <w:r w:rsidRPr="009A09FD" w:rsidR="003F62C3">
        <w:rPr>
          <w:snapToGrid w:val="0"/>
        </w:rPr>
        <w:t xml:space="preserve">”), </w:t>
      </w:r>
      <w:r w:rsidRPr="009A09FD" w:rsidR="00A77640">
        <w:rPr>
          <w:snapToGrid w:val="0"/>
        </w:rPr>
        <w:t xml:space="preserve">and Stock Exchange trading fee </w:t>
      </w:r>
      <w:r w:rsidRPr="009A09FD" w:rsidR="00DF25BA">
        <w:rPr>
          <w:snapToGrid w:val="0"/>
        </w:rPr>
        <w:t xml:space="preserve">per Share </w:t>
      </w:r>
      <w:r w:rsidRPr="009A09FD" w:rsidR="00A77640">
        <w:rPr>
          <w:snapToGrid w:val="0"/>
        </w:rPr>
        <w:t xml:space="preserve">of </w:t>
      </w:r>
      <w:r w:rsidRPr="009A09FD" w:rsidR="00BF4653">
        <w:rPr>
          <w:snapToGrid w:val="0"/>
        </w:rPr>
        <w:t>[</w:t>
      </w:r>
      <w:r w:rsidRPr="009A09FD" w:rsidR="00A77640">
        <w:rPr>
          <w:snapToGrid w:val="0"/>
        </w:rPr>
        <w:t>0.00565</w:t>
      </w:r>
      <w:r w:rsidRPr="009A09FD" w:rsidR="00BF4653">
        <w:rPr>
          <w:snapToGrid w:val="0"/>
        </w:rPr>
        <w:t>]</w:t>
      </w:r>
      <w:r w:rsidRPr="009A09FD" w:rsidR="00A77640">
        <w:rPr>
          <w:snapToGrid w:val="0"/>
        </w:rPr>
        <w:t>%</w:t>
      </w:r>
      <w:r>
        <w:rPr>
          <w:rStyle w:val="FootnoteReference"/>
          <w:szCs w:val="22"/>
        </w:rPr>
        <w:footnoteReference w:id="9"/>
      </w:r>
      <w:r w:rsidRPr="009A09FD" w:rsidR="00B16FFA">
        <w:rPr>
          <w:snapToGrid w:val="0"/>
        </w:rPr>
        <w:t xml:space="preserve"> (the “</w:t>
      </w:r>
      <w:r w:rsidRPr="009A09FD" w:rsidR="00B16FFA">
        <w:rPr>
          <w:b/>
          <w:snapToGrid w:val="0"/>
        </w:rPr>
        <w:t>Trading Fee</w:t>
      </w:r>
      <w:r w:rsidRPr="009A09FD" w:rsidR="00B16FFA">
        <w:rPr>
          <w:snapToGrid w:val="0"/>
        </w:rPr>
        <w:t xml:space="preserve">”), </w:t>
      </w:r>
      <w:r w:rsidRPr="009A09FD">
        <w:rPr>
          <w:snapToGrid w:val="0"/>
        </w:rPr>
        <w:t xml:space="preserve">in each case, payable by </w:t>
      </w:r>
      <w:r w:rsidRPr="009A09FD" w:rsidR="00286CB1">
        <w:rPr>
          <w:snapToGrid w:val="0"/>
        </w:rPr>
        <w:t xml:space="preserve">purchasers </w:t>
      </w:r>
      <w:r w:rsidRPr="009A09FD">
        <w:rPr>
          <w:snapToGrid w:val="0"/>
        </w:rPr>
        <w:t>of the Offer Shares.  The Trading Fee</w:t>
      </w:r>
      <w:r w:rsidRPr="009A09FD" w:rsidR="00907FC9">
        <w:rPr>
          <w:snapToGrid w:val="0"/>
        </w:rPr>
        <w:t>,</w:t>
      </w:r>
      <w:r w:rsidRPr="009A09FD">
        <w:rPr>
          <w:snapToGrid w:val="0"/>
        </w:rPr>
        <w:t xml:space="preserve"> the </w:t>
      </w:r>
      <w:r w:rsidRPr="009A09FD" w:rsidR="00907FC9">
        <w:rPr>
          <w:snapToGrid w:val="0"/>
        </w:rPr>
        <w:t xml:space="preserve">SFC </w:t>
      </w:r>
      <w:r w:rsidRPr="009A09FD">
        <w:rPr>
          <w:snapToGrid w:val="0"/>
        </w:rPr>
        <w:t xml:space="preserve">Transaction Levy </w:t>
      </w:r>
      <w:r w:rsidRPr="009A09FD" w:rsidR="00907FC9">
        <w:rPr>
          <w:snapToGrid w:val="0"/>
        </w:rPr>
        <w:t xml:space="preserve">and the AFRC Transaction Levy </w:t>
      </w:r>
      <w:r w:rsidRPr="009A09FD">
        <w:rPr>
          <w:snapToGrid w:val="0"/>
        </w:rPr>
        <w:t>are also payable by the Company with respect to the Offer Shares</w:t>
      </w:r>
      <w:r>
        <w:rPr>
          <w:rStyle w:val="FootnoteReference"/>
          <w:snapToGrid w:val="0"/>
        </w:rPr>
        <w:footnoteReference w:id="10"/>
      </w:r>
      <w:r w:rsidRPr="009A09FD">
        <w:rPr>
          <w:snapToGrid w:val="0"/>
        </w:rPr>
        <w:t>.</w:t>
      </w:r>
    </w:p>
    <w:p w:rsidR="001C5107" w:rsidRPr="009A09FD" w:rsidP="00A469A2" w14:paraId="71AE9C87" w14:textId="0CF0FE9E">
      <w:pPr>
        <w:pStyle w:val="BodyText0"/>
        <w:rPr>
          <w:snapToGrid w:val="0"/>
        </w:rPr>
      </w:pPr>
      <w:bookmarkStart w:id="2" w:name="_Hlk517395645"/>
      <w:r w:rsidRPr="009A09FD">
        <w:rPr>
          <w:b/>
          <w:bCs/>
          <w:snapToGrid w:val="0"/>
        </w:rPr>
        <w:t xml:space="preserve">[Insert the names of the </w:t>
      </w:r>
      <w:r w:rsidRPr="009A09FD" w:rsidR="000635C4">
        <w:rPr>
          <w:b/>
          <w:bCs/>
          <w:snapToGrid w:val="0"/>
        </w:rPr>
        <w:t>Joint Sponsors</w:t>
      </w:r>
      <w:r w:rsidRPr="009A09FD">
        <w:rPr>
          <w:b/>
          <w:bCs/>
          <w:snapToGrid w:val="0"/>
        </w:rPr>
        <w:t>]</w:t>
      </w:r>
      <w:r w:rsidRPr="009A09FD" w:rsidR="007821C6">
        <w:rPr>
          <w:snapToGrid w:val="0"/>
        </w:rPr>
        <w:t xml:space="preserve"> are acting as the </w:t>
      </w:r>
      <w:r w:rsidRPr="009A09FD" w:rsidR="000635C4">
        <w:rPr>
          <w:snapToGrid w:val="0"/>
        </w:rPr>
        <w:t>joint sponsors of the Company’s application for listing (the “</w:t>
      </w:r>
      <w:r w:rsidRPr="009A09FD" w:rsidR="000635C4">
        <w:rPr>
          <w:b/>
          <w:bCs/>
          <w:snapToGrid w:val="0"/>
        </w:rPr>
        <w:t>Joint Sponsors</w:t>
      </w:r>
      <w:r w:rsidRPr="009A09FD" w:rsidR="000635C4">
        <w:rPr>
          <w:snapToGrid w:val="0"/>
        </w:rPr>
        <w:t>”). [</w:t>
      </w:r>
      <w:r w:rsidRPr="009A09FD" w:rsidR="000635C4">
        <w:rPr>
          <w:b/>
          <w:bCs/>
          <w:snapToGrid w:val="0"/>
        </w:rPr>
        <w:t>Insert the names of the Overall Coordinators</w:t>
      </w:r>
      <w:r w:rsidRPr="009A09FD" w:rsidR="000635C4">
        <w:rPr>
          <w:snapToGrid w:val="0"/>
        </w:rPr>
        <w:t xml:space="preserve">] are acting as the </w:t>
      </w:r>
      <w:r w:rsidRPr="009A09FD" w:rsidR="007821C6">
        <w:rPr>
          <w:snapToGrid w:val="0"/>
        </w:rPr>
        <w:t>overall coordinators</w:t>
      </w:r>
      <w:r>
        <w:rPr>
          <w:rStyle w:val="FootnoteReference"/>
          <w:szCs w:val="22"/>
        </w:rPr>
        <w:footnoteReference w:id="11"/>
      </w:r>
      <w:r w:rsidRPr="009A09FD" w:rsidR="001A02C5">
        <w:rPr>
          <w:szCs w:val="22"/>
        </w:rPr>
        <w:t xml:space="preserve"> </w:t>
      </w:r>
      <w:r w:rsidRPr="009A09FD" w:rsidR="007821C6">
        <w:rPr>
          <w:snapToGrid w:val="0"/>
        </w:rPr>
        <w:t xml:space="preserve"> (the “</w:t>
      </w:r>
      <w:r w:rsidRPr="009A09FD" w:rsidR="007821C6">
        <w:rPr>
          <w:b/>
          <w:snapToGrid w:val="0"/>
        </w:rPr>
        <w:t>Overall Coordinators</w:t>
      </w:r>
      <w:r w:rsidRPr="009A09FD" w:rsidR="007821C6">
        <w:rPr>
          <w:snapToGrid w:val="0"/>
        </w:rPr>
        <w:t>”)</w:t>
      </w:r>
      <w:bookmarkEnd w:id="2"/>
      <w:r w:rsidRPr="009A09FD" w:rsidR="004850C2">
        <w:rPr>
          <w:snapToGrid w:val="0"/>
        </w:rPr>
        <w:t xml:space="preserve"> and </w:t>
      </w:r>
      <w:r w:rsidRPr="009A09FD" w:rsidR="000635C4">
        <w:rPr>
          <w:snapToGrid w:val="0"/>
        </w:rPr>
        <w:t>[</w:t>
      </w:r>
      <w:r w:rsidRPr="009A09FD" w:rsidR="000635C4">
        <w:rPr>
          <w:b/>
          <w:bCs/>
          <w:snapToGrid w:val="0"/>
        </w:rPr>
        <w:t>Insert the names of the Joint Global Coordinators</w:t>
      </w:r>
      <w:r w:rsidRPr="009A09FD" w:rsidR="000635C4">
        <w:rPr>
          <w:snapToGrid w:val="0"/>
        </w:rPr>
        <w:t xml:space="preserve">] are acting as </w:t>
      </w:r>
      <w:r w:rsidRPr="009A09FD" w:rsidR="0045566B">
        <w:rPr>
          <w:snapToGrid w:val="0"/>
        </w:rPr>
        <w:t xml:space="preserve">the joint global coordinators for the </w:t>
      </w:r>
      <w:r w:rsidRPr="009A09FD" w:rsidR="00A4266A">
        <w:rPr>
          <w:snapToGrid w:val="0"/>
        </w:rPr>
        <w:t xml:space="preserve">Global </w:t>
      </w:r>
      <w:r w:rsidRPr="009A09FD" w:rsidR="0045566B">
        <w:rPr>
          <w:snapToGrid w:val="0"/>
        </w:rPr>
        <w:t>Offering (the “</w:t>
      </w:r>
      <w:r w:rsidRPr="009A09FD" w:rsidR="0045566B">
        <w:rPr>
          <w:b/>
          <w:snapToGrid w:val="0"/>
        </w:rPr>
        <w:t>Joint Global Coordinators</w:t>
      </w:r>
      <w:r w:rsidRPr="009A09FD" w:rsidR="0045566B">
        <w:rPr>
          <w:snapToGrid w:val="0"/>
        </w:rPr>
        <w:t xml:space="preserve">”).  </w:t>
      </w:r>
      <w:bookmarkStart w:id="3" w:name="_Hlk517395657"/>
      <w:r w:rsidRPr="009A09FD">
        <w:rPr>
          <w:b/>
          <w:bCs/>
          <w:snapToGrid w:val="0"/>
        </w:rPr>
        <w:t>[Insert the names of the Joint Bookrunners and Joint Lead Managers]</w:t>
      </w:r>
      <w:r w:rsidRPr="009A09FD">
        <w:rPr>
          <w:snapToGrid w:val="0"/>
        </w:rPr>
        <w:t xml:space="preserve"> </w:t>
      </w:r>
      <w:bookmarkEnd w:id="3"/>
      <w:r w:rsidRPr="009A09FD" w:rsidR="0045566B">
        <w:rPr>
          <w:snapToGrid w:val="0"/>
        </w:rPr>
        <w:t>shall act as the joint bookrunners for the International Offering (the “</w:t>
      </w:r>
      <w:r w:rsidRPr="009A09FD" w:rsidR="0045566B">
        <w:rPr>
          <w:b/>
          <w:snapToGrid w:val="0"/>
        </w:rPr>
        <w:t>Joint Bookrunners</w:t>
      </w:r>
      <w:r w:rsidRPr="009A09FD" w:rsidR="0045566B">
        <w:rPr>
          <w:snapToGrid w:val="0"/>
        </w:rPr>
        <w:t>”)</w:t>
      </w:r>
      <w:r w:rsidRPr="009A09FD" w:rsidR="006705CA">
        <w:rPr>
          <w:snapToGrid w:val="0"/>
        </w:rPr>
        <w:t>,</w:t>
      </w:r>
      <w:r w:rsidRPr="009A09FD" w:rsidR="00266053">
        <w:rPr>
          <w:snapToGrid w:val="0"/>
        </w:rPr>
        <w:t xml:space="preserve"> </w:t>
      </w:r>
      <w:r w:rsidRPr="009A09FD" w:rsidR="0045566B">
        <w:rPr>
          <w:snapToGrid w:val="0"/>
        </w:rPr>
        <w:t>joint lead managers for the International Offering (the “</w:t>
      </w:r>
      <w:r w:rsidRPr="009A09FD" w:rsidR="0045566B">
        <w:rPr>
          <w:b/>
          <w:snapToGrid w:val="0"/>
        </w:rPr>
        <w:t>Joint Lead Managers</w:t>
      </w:r>
      <w:r w:rsidRPr="009A09FD" w:rsidR="0045566B">
        <w:rPr>
          <w:snapToGrid w:val="0"/>
        </w:rPr>
        <w:t>”)</w:t>
      </w:r>
      <w:r w:rsidRPr="009A09FD" w:rsidR="006705CA">
        <w:rPr>
          <w:snapToGrid w:val="0"/>
        </w:rPr>
        <w:t xml:space="preserve"> and the</w:t>
      </w:r>
      <w:r w:rsidRPr="009A09FD" w:rsidR="001C6021">
        <w:rPr>
          <w:snapToGrid w:val="0"/>
        </w:rPr>
        <w:t xml:space="preserve"> capital market intermediaries (the </w:t>
      </w:r>
      <w:r w:rsidRPr="00657DA9" w:rsidR="00657DA9">
        <w:rPr>
          <w:snapToGrid w:val="0"/>
        </w:rPr>
        <w:t>“</w:t>
      </w:r>
      <w:r w:rsidRPr="009A09FD" w:rsidR="001C6021">
        <w:rPr>
          <w:b/>
          <w:bCs/>
          <w:snapToGrid w:val="0"/>
        </w:rPr>
        <w:t>CMIs</w:t>
      </w:r>
      <w:r w:rsidRPr="009A09FD" w:rsidR="001C6021">
        <w:rPr>
          <w:snapToGrid w:val="0"/>
        </w:rPr>
        <w:t xml:space="preserve">”) for the Global Offering. </w:t>
      </w:r>
      <w:r w:rsidRPr="009A09FD" w:rsidR="0045566B">
        <w:rPr>
          <w:snapToGrid w:val="0"/>
        </w:rPr>
        <w:t>The International Underwriters and the Hong Kong Underwriters are simultaneously entering into an agreement between the international and Hong Kong underwriting syndicates (the “</w:t>
      </w:r>
      <w:r w:rsidRPr="009A09FD" w:rsidR="0045566B">
        <w:rPr>
          <w:b/>
          <w:snapToGrid w:val="0"/>
        </w:rPr>
        <w:t>Inter-syndicate Agreement</w:t>
      </w:r>
      <w:r w:rsidRPr="009A09FD" w:rsidR="0045566B">
        <w:rPr>
          <w:snapToGrid w:val="0"/>
        </w:rPr>
        <w:t>”),</w:t>
      </w:r>
      <w:r w:rsidRPr="009A09FD" w:rsidR="0045566B">
        <w:rPr>
          <w:b/>
          <w:snapToGrid w:val="0"/>
        </w:rPr>
        <w:t xml:space="preserve"> </w:t>
      </w:r>
      <w:r w:rsidRPr="009A09FD" w:rsidR="0045566B">
        <w:rPr>
          <w:snapToGrid w:val="0"/>
        </w:rPr>
        <w:t xml:space="preserve">which provides, among other things, that the </w:t>
      </w:r>
      <w:r w:rsidRPr="009A09FD" w:rsidR="00506979">
        <w:rPr>
          <w:snapToGrid w:val="0"/>
        </w:rPr>
        <w:t>Overall Coordinators</w:t>
      </w:r>
      <w:r w:rsidRPr="009A09FD" w:rsidR="0045566B">
        <w:rPr>
          <w:snapToGrid w:val="0"/>
        </w:rPr>
        <w:t xml:space="preserve"> shall have the right to reallocate the International Offer Shares and the Hong Kong Offer Shares among the underwriting syndicates.  The Company hereby acknowledges the appointment of the </w:t>
      </w:r>
      <w:r w:rsidRPr="009A09FD" w:rsidR="004A141C">
        <w:rPr>
          <w:snapToGrid w:val="0"/>
        </w:rPr>
        <w:t>Overall Coordinators</w:t>
      </w:r>
      <w:r w:rsidRPr="009A09FD" w:rsidR="0045566B">
        <w:rPr>
          <w:snapToGrid w:val="0"/>
        </w:rPr>
        <w:t>, Joint Global Coordinators, the Joint Bookrunners</w:t>
      </w:r>
      <w:r w:rsidRPr="009A09FD" w:rsidR="008079AD">
        <w:rPr>
          <w:snapToGrid w:val="0"/>
        </w:rPr>
        <w:t>,</w:t>
      </w:r>
      <w:r w:rsidRPr="009A09FD" w:rsidR="0045566B">
        <w:rPr>
          <w:snapToGrid w:val="0"/>
        </w:rPr>
        <w:t xml:space="preserve"> the Joint Lead Managers </w:t>
      </w:r>
      <w:r w:rsidRPr="009A09FD" w:rsidR="008079AD">
        <w:rPr>
          <w:snapToGrid w:val="0"/>
        </w:rPr>
        <w:t>and the CMIs</w:t>
      </w:r>
      <w:r w:rsidRPr="009A09FD" w:rsidR="0045566B">
        <w:rPr>
          <w:snapToGrid w:val="0"/>
        </w:rPr>
        <w:t>.</w:t>
      </w:r>
    </w:p>
    <w:p w:rsidR="001C5107" w:rsidRPr="009A09FD" w:rsidP="00A469A2" w14:paraId="52B7DCFB" w14:textId="294E8464">
      <w:pPr>
        <w:pStyle w:val="BodyText0"/>
        <w:rPr>
          <w:snapToGrid w:val="0"/>
        </w:rPr>
      </w:pPr>
      <w:r w:rsidRPr="009A09FD">
        <w:rPr>
          <w:snapToGrid w:val="0"/>
        </w:rPr>
        <w:t xml:space="preserve">A prospectus dated </w:t>
      </w:r>
      <w:r w:rsidRPr="009A09FD" w:rsidR="00F90C73">
        <w:rPr>
          <w:b/>
          <w:bCs/>
          <w:snapToGrid w:val="0"/>
        </w:rPr>
        <w:t>[</w:t>
      </w:r>
      <w:r w:rsidRPr="009A09FD" w:rsidR="006018E5">
        <w:rPr>
          <w:b/>
          <w:bCs/>
          <w:snapToGrid w:val="0"/>
        </w:rPr>
        <w:t>I</w:t>
      </w:r>
      <w:r w:rsidRPr="009A09FD" w:rsidR="00F90C73">
        <w:rPr>
          <w:b/>
          <w:bCs/>
          <w:snapToGrid w:val="0"/>
        </w:rPr>
        <w:t>nsert date]</w:t>
      </w:r>
      <w:r w:rsidRPr="009A09FD" w:rsidR="00CA382E">
        <w:rPr>
          <w:snapToGrid w:val="0"/>
        </w:rPr>
        <w:t xml:space="preserve"> </w:t>
      </w:r>
      <w:r w:rsidRPr="009A09FD">
        <w:rPr>
          <w:snapToGrid w:val="0"/>
        </w:rPr>
        <w:t>(the “</w:t>
      </w:r>
      <w:r w:rsidRPr="009A09FD">
        <w:rPr>
          <w:b/>
          <w:snapToGrid w:val="0"/>
        </w:rPr>
        <w:t>Prospectus</w:t>
      </w:r>
      <w:r w:rsidRPr="009A09FD">
        <w:rPr>
          <w:snapToGrid w:val="0"/>
        </w:rPr>
        <w:t>”)</w:t>
      </w:r>
      <w:r w:rsidRPr="009A09FD">
        <w:rPr>
          <w:b/>
          <w:snapToGrid w:val="0"/>
        </w:rPr>
        <w:t xml:space="preserve"> </w:t>
      </w:r>
      <w:r w:rsidRPr="009A09FD">
        <w:rPr>
          <w:snapToGrid w:val="0"/>
        </w:rPr>
        <w:t>has been prepared and used in connection with the Hong Kong Public Offering.  In conjunction with the Global Offering, the Company has made an application for listing the Shares on the Main Board</w:t>
      </w:r>
      <w:r>
        <w:rPr>
          <w:rStyle w:val="FootnoteReference"/>
          <w:szCs w:val="22"/>
        </w:rPr>
        <w:footnoteReference w:id="12"/>
      </w:r>
      <w:r w:rsidRPr="009A09FD">
        <w:rPr>
          <w:snapToGrid w:val="0"/>
        </w:rPr>
        <w:t xml:space="preserve"> of the Stock Exchange, and </w:t>
      </w:r>
      <w:r w:rsidRPr="009A09FD" w:rsidR="00DA7422">
        <w:rPr>
          <w:b/>
          <w:bCs/>
          <w:snapToGrid w:val="0"/>
        </w:rPr>
        <w:t>[Insert the names of the Joint Sponsors]</w:t>
      </w:r>
      <w:r w:rsidRPr="009A09FD" w:rsidR="00CC5CF0">
        <w:rPr>
          <w:snapToGrid w:val="0"/>
        </w:rPr>
        <w:t xml:space="preserve"> are</w:t>
      </w:r>
      <w:r w:rsidRPr="009A09FD" w:rsidR="002371B0">
        <w:rPr>
          <w:snapToGrid w:val="0"/>
        </w:rPr>
        <w:t xml:space="preserve"> </w:t>
      </w:r>
      <w:r w:rsidRPr="009A09FD">
        <w:rPr>
          <w:snapToGrid w:val="0"/>
        </w:rPr>
        <w:t xml:space="preserve">acting as the </w:t>
      </w:r>
      <w:r w:rsidRPr="009A09FD" w:rsidR="006238EF">
        <w:rPr>
          <w:snapToGrid w:val="0"/>
        </w:rPr>
        <w:t xml:space="preserve">joint </w:t>
      </w:r>
      <w:r w:rsidRPr="009A09FD">
        <w:rPr>
          <w:snapToGrid w:val="0"/>
        </w:rPr>
        <w:t>sponsor</w:t>
      </w:r>
      <w:r w:rsidRPr="009A09FD" w:rsidR="006238EF">
        <w:rPr>
          <w:snapToGrid w:val="0"/>
        </w:rPr>
        <w:t>s</w:t>
      </w:r>
      <w:r w:rsidRPr="009A09FD">
        <w:rPr>
          <w:snapToGrid w:val="0"/>
        </w:rPr>
        <w:t xml:space="preserve"> </w:t>
      </w:r>
      <w:r w:rsidRPr="009A09FD" w:rsidR="00AA0D73">
        <w:rPr>
          <w:snapToGrid w:val="0"/>
        </w:rPr>
        <w:t>(the “</w:t>
      </w:r>
      <w:r w:rsidRPr="009A09FD" w:rsidR="006238EF">
        <w:rPr>
          <w:b/>
          <w:snapToGrid w:val="0"/>
        </w:rPr>
        <w:t xml:space="preserve">Joint </w:t>
      </w:r>
      <w:r w:rsidRPr="009A09FD" w:rsidR="00AA0D73">
        <w:rPr>
          <w:b/>
          <w:snapToGrid w:val="0"/>
        </w:rPr>
        <w:t>Sponsor</w:t>
      </w:r>
      <w:r w:rsidRPr="009A09FD" w:rsidR="006238EF">
        <w:rPr>
          <w:b/>
          <w:snapToGrid w:val="0"/>
        </w:rPr>
        <w:t>s</w:t>
      </w:r>
      <w:r w:rsidRPr="009A09FD" w:rsidR="00AA0D73">
        <w:rPr>
          <w:snapToGrid w:val="0"/>
        </w:rPr>
        <w:t xml:space="preserve">”) </w:t>
      </w:r>
      <w:r w:rsidRPr="009A09FD" w:rsidR="00EE7C0F">
        <w:rPr>
          <w:snapToGrid w:val="0"/>
        </w:rPr>
        <w:t xml:space="preserve">and </w:t>
      </w:r>
      <w:r w:rsidRPr="009A09FD" w:rsidR="00DA7422">
        <w:rPr>
          <w:b/>
          <w:bCs/>
          <w:snapToGrid w:val="0"/>
        </w:rPr>
        <w:t>[</w:t>
      </w:r>
      <w:r w:rsidRPr="009A09FD" w:rsidR="001D7E54">
        <w:rPr>
          <w:b/>
          <w:bCs/>
          <w:snapToGrid w:val="0"/>
        </w:rPr>
        <w:t>I</w:t>
      </w:r>
      <w:r w:rsidRPr="009A09FD" w:rsidR="00DA7422">
        <w:rPr>
          <w:b/>
          <w:bCs/>
          <w:snapToGrid w:val="0"/>
        </w:rPr>
        <w:t>nsert the name of the Sponsor-OC</w:t>
      </w:r>
      <w:r w:rsidRPr="009A09FD" w:rsidR="00337DC0">
        <w:rPr>
          <w:b/>
          <w:bCs/>
          <w:snapToGrid w:val="0"/>
        </w:rPr>
        <w:t>s</w:t>
      </w:r>
      <w:r w:rsidRPr="009A09FD" w:rsidR="00DA7422">
        <w:rPr>
          <w:b/>
          <w:bCs/>
          <w:snapToGrid w:val="0"/>
        </w:rPr>
        <w:t>]</w:t>
      </w:r>
      <w:r w:rsidRPr="009A09FD" w:rsidR="006238EF">
        <w:rPr>
          <w:snapToGrid w:val="0"/>
        </w:rPr>
        <w:t xml:space="preserve"> </w:t>
      </w:r>
      <w:r w:rsidRPr="009A09FD" w:rsidR="00337DC0">
        <w:rPr>
          <w:snapToGrid w:val="0"/>
        </w:rPr>
        <w:t xml:space="preserve">are </w:t>
      </w:r>
      <w:r w:rsidRPr="009A09FD" w:rsidR="006238EF">
        <w:rPr>
          <w:snapToGrid w:val="0"/>
        </w:rPr>
        <w:t>acting as the sponsor-overall coordinator</w:t>
      </w:r>
      <w:r w:rsidRPr="009A09FD" w:rsidR="00337DC0">
        <w:rPr>
          <w:snapToGrid w:val="0"/>
        </w:rPr>
        <w:t>s</w:t>
      </w:r>
      <w:r w:rsidRPr="009A09FD" w:rsidR="006238EF">
        <w:rPr>
          <w:snapToGrid w:val="0"/>
        </w:rPr>
        <w:t xml:space="preserve"> </w:t>
      </w:r>
      <w:r w:rsidRPr="009A09FD">
        <w:rPr>
          <w:snapToGrid w:val="0"/>
        </w:rPr>
        <w:t>of the Company’s application for listing (</w:t>
      </w:r>
      <w:r w:rsidRPr="009A09FD" w:rsidR="0070437B">
        <w:rPr>
          <w:snapToGrid w:val="0"/>
        </w:rPr>
        <w:t>the “</w:t>
      </w:r>
      <w:r w:rsidRPr="009A09FD" w:rsidR="0070437B">
        <w:rPr>
          <w:b/>
          <w:snapToGrid w:val="0"/>
        </w:rPr>
        <w:t>Sponsor-</w:t>
      </w:r>
      <w:r w:rsidRPr="009A09FD" w:rsidR="00472E53">
        <w:rPr>
          <w:b/>
          <w:snapToGrid w:val="0"/>
        </w:rPr>
        <w:t>OC</w:t>
      </w:r>
      <w:r w:rsidRPr="009A09FD" w:rsidR="00337DC0">
        <w:rPr>
          <w:b/>
          <w:snapToGrid w:val="0"/>
        </w:rPr>
        <w:t>s</w:t>
      </w:r>
      <w:r w:rsidRPr="009A09FD" w:rsidR="0070437B">
        <w:rPr>
          <w:snapToGrid w:val="0"/>
        </w:rPr>
        <w:t>”</w:t>
      </w:r>
      <w:r w:rsidRPr="009A09FD">
        <w:rPr>
          <w:snapToGrid w:val="0"/>
        </w:rPr>
        <w:t>).</w:t>
      </w:r>
      <w:r w:rsidRPr="009A09FD" w:rsidR="00AA0D73">
        <w:rPr>
          <w:snapToGrid w:val="0"/>
        </w:rPr>
        <w:t xml:space="preserve"> </w:t>
      </w:r>
    </w:p>
    <w:p w:rsidR="001C5107" w:rsidRPr="009A09FD" w:rsidP="00A469A2" w14:paraId="72A55F6C" w14:textId="5CD8296C">
      <w:pPr>
        <w:pStyle w:val="BodyText0"/>
        <w:rPr>
          <w:snapToGrid w:val="0"/>
        </w:rPr>
      </w:pPr>
      <w:r w:rsidRPr="009A09FD">
        <w:rPr>
          <w:snapToGrid w:val="0"/>
        </w:rPr>
        <w:t>A preliminary offering circular dated</w:t>
      </w:r>
      <w:r w:rsidRPr="009A09FD" w:rsidR="009A7089">
        <w:rPr>
          <w:snapToGrid w:val="0"/>
        </w:rPr>
        <w:t xml:space="preserve"> </w:t>
      </w:r>
      <w:r w:rsidRPr="009A09FD" w:rsidR="00F90C73">
        <w:rPr>
          <w:b/>
          <w:bCs/>
          <w:snapToGrid w:val="0"/>
        </w:rPr>
        <w:t>[</w:t>
      </w:r>
      <w:r w:rsidRPr="009A09FD" w:rsidR="001D7E54">
        <w:rPr>
          <w:b/>
          <w:bCs/>
          <w:snapToGrid w:val="0"/>
        </w:rPr>
        <w:t>I</w:t>
      </w:r>
      <w:r w:rsidRPr="009A09FD" w:rsidR="00F90C73">
        <w:rPr>
          <w:b/>
          <w:bCs/>
          <w:snapToGrid w:val="0"/>
        </w:rPr>
        <w:t>nsert date]</w:t>
      </w:r>
      <w:r w:rsidRPr="009A09FD">
        <w:rPr>
          <w:snapToGrid w:val="0"/>
        </w:rPr>
        <w:t>, as amended or supplemented prior to the Time of Sale (the “</w:t>
      </w:r>
      <w:r w:rsidRPr="009A09FD">
        <w:rPr>
          <w:b/>
          <w:snapToGrid w:val="0"/>
        </w:rPr>
        <w:t>Preliminary Offering Circular</w:t>
      </w:r>
      <w:r w:rsidRPr="009A09FD">
        <w:rPr>
          <w:snapToGrid w:val="0"/>
        </w:rPr>
        <w:t>”),</w:t>
      </w:r>
      <w:r w:rsidRPr="009A09FD">
        <w:rPr>
          <w:b/>
          <w:snapToGrid w:val="0"/>
        </w:rPr>
        <w:t xml:space="preserve"> </w:t>
      </w:r>
      <w:r w:rsidRPr="009A09FD">
        <w:rPr>
          <w:snapToGrid w:val="0"/>
        </w:rPr>
        <w:t xml:space="preserve">and </w:t>
      </w:r>
      <w:r w:rsidRPr="009A09FD" w:rsidR="00375B47">
        <w:rPr>
          <w:snapToGrid w:val="0"/>
        </w:rPr>
        <w:t>an</w:t>
      </w:r>
      <w:r w:rsidRPr="009A09FD">
        <w:rPr>
          <w:snapToGrid w:val="0"/>
        </w:rPr>
        <w:t xml:space="preserve"> </w:t>
      </w:r>
      <w:r w:rsidRPr="009A09FD" w:rsidR="005F428E">
        <w:rPr>
          <w:snapToGrid w:val="0"/>
        </w:rPr>
        <w:t>Offering Circular</w:t>
      </w:r>
      <w:r w:rsidRPr="009A09FD">
        <w:rPr>
          <w:snapToGrid w:val="0"/>
        </w:rPr>
        <w:t xml:space="preserve"> dated</w:t>
      </w:r>
      <w:r w:rsidRPr="009A09FD" w:rsidR="008B5B92">
        <w:rPr>
          <w:snapToGrid w:val="0"/>
        </w:rPr>
        <w:t> </w:t>
      </w:r>
      <w:r w:rsidRPr="009A09FD" w:rsidR="002E55FE">
        <w:rPr>
          <w:b/>
          <w:bCs/>
          <w:snapToGrid w:val="0"/>
        </w:rPr>
        <w:t>[</w:t>
      </w:r>
      <w:r w:rsidRPr="009A09FD" w:rsidR="001D7E54">
        <w:rPr>
          <w:b/>
          <w:bCs/>
          <w:snapToGrid w:val="0"/>
        </w:rPr>
        <w:t>I</w:t>
      </w:r>
      <w:r w:rsidRPr="009A09FD" w:rsidR="002E55FE">
        <w:rPr>
          <w:b/>
          <w:bCs/>
          <w:snapToGrid w:val="0"/>
        </w:rPr>
        <w:t>nsert date]</w:t>
      </w:r>
      <w:r w:rsidRPr="009A09FD" w:rsidR="004428DE">
        <w:rPr>
          <w:snapToGrid w:val="0"/>
        </w:rPr>
        <w:t xml:space="preserve"> </w:t>
      </w:r>
      <w:r w:rsidRPr="009A09FD">
        <w:rPr>
          <w:snapToGrid w:val="0"/>
        </w:rPr>
        <w:t>(the “</w:t>
      </w:r>
      <w:r w:rsidRPr="009A09FD" w:rsidR="005F428E">
        <w:rPr>
          <w:b/>
          <w:snapToGrid w:val="0"/>
        </w:rPr>
        <w:t>Offering Circular</w:t>
      </w:r>
      <w:r w:rsidRPr="009A09FD">
        <w:rPr>
          <w:snapToGrid w:val="0"/>
        </w:rPr>
        <w:t>”),</w:t>
      </w:r>
      <w:r w:rsidRPr="009A09FD">
        <w:rPr>
          <w:b/>
          <w:snapToGrid w:val="0"/>
        </w:rPr>
        <w:t xml:space="preserve"> </w:t>
      </w:r>
      <w:r w:rsidRPr="009A09FD">
        <w:rPr>
          <w:snapToGrid w:val="0"/>
        </w:rPr>
        <w:t xml:space="preserve">including, in each case, the Prospectus (except for the letters regarding the unaudited </w:t>
      </w:r>
      <w:r w:rsidRPr="009A09FD">
        <w:rPr>
          <w:bCs/>
          <w:iCs/>
          <w:snapToGrid w:val="0"/>
        </w:rPr>
        <w:t>pro forma</w:t>
      </w:r>
      <w:r w:rsidRPr="009A09FD">
        <w:rPr>
          <w:snapToGrid w:val="0"/>
        </w:rPr>
        <w:t xml:space="preserve"> financial information and certain confirmations by the </w:t>
      </w:r>
      <w:r w:rsidRPr="009A09FD" w:rsidR="004F025D">
        <w:rPr>
          <w:snapToGrid w:val="0"/>
        </w:rPr>
        <w:t xml:space="preserve">Joint </w:t>
      </w:r>
      <w:r w:rsidRPr="009A09FD">
        <w:rPr>
          <w:snapToGrid w:val="0"/>
        </w:rPr>
        <w:t>Sponsor</w:t>
      </w:r>
      <w:r w:rsidRPr="009A09FD" w:rsidR="004F025D">
        <w:rPr>
          <w:snapToGrid w:val="0"/>
        </w:rPr>
        <w:t>s</w:t>
      </w:r>
      <w:r w:rsidRPr="009A09FD">
        <w:rPr>
          <w:snapToGrid w:val="0"/>
        </w:rPr>
        <w:t xml:space="preserve">) contained therein and made a part thereof, have been prepared and used in connection with the International Offering.  The Preliminary Offering Circular, together with the Offer Price and other information set forth in </w:t>
      </w:r>
      <w:r w:rsidRPr="009A09FD">
        <w:rPr>
          <w:snapToGrid w:val="0"/>
        </w:rPr>
        <w:fldChar w:fldCharType="begin"/>
      </w:r>
      <w:r w:rsidRPr="009A09FD">
        <w:rPr>
          <w:snapToGrid w:val="0"/>
        </w:rPr>
        <w:instrText xml:space="preserve"> REF _Ref517408029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Schedule III</w:t>
      </w:r>
      <w:r w:rsidRPr="009A09FD">
        <w:rPr>
          <w:snapToGrid w:val="0"/>
        </w:rPr>
        <w:fldChar w:fldCharType="end"/>
      </w:r>
      <w:r w:rsidRPr="009A09FD">
        <w:rPr>
          <w:snapToGrid w:val="0"/>
        </w:rPr>
        <w:t xml:space="preserve"> to this Agreement, all considered together are herein referred to collectively as the “</w:t>
      </w:r>
      <w:r w:rsidRPr="009A09FD">
        <w:rPr>
          <w:b/>
          <w:snapToGrid w:val="0"/>
        </w:rPr>
        <w:t>Disclosure Package</w:t>
      </w:r>
      <w:r w:rsidRPr="009A09FD">
        <w:rPr>
          <w:snapToGrid w:val="0"/>
        </w:rPr>
        <w:t>”.  As used herein, “</w:t>
      </w:r>
      <w:r w:rsidRPr="009A09FD">
        <w:rPr>
          <w:b/>
          <w:snapToGrid w:val="0"/>
        </w:rPr>
        <w:t>Time of Sale</w:t>
      </w:r>
      <w:r w:rsidRPr="009A09FD">
        <w:rPr>
          <w:snapToGrid w:val="0"/>
        </w:rPr>
        <w:t>”</w:t>
      </w:r>
      <w:r w:rsidRPr="009A09FD">
        <w:rPr>
          <w:b/>
          <w:snapToGrid w:val="0"/>
        </w:rPr>
        <w:t xml:space="preserve"> </w:t>
      </w:r>
      <w:r w:rsidRPr="009A09FD">
        <w:rPr>
          <w:snapToGrid w:val="0"/>
        </w:rPr>
        <w:t xml:space="preserve">means the time when sales of the International Offer Shares were first made, which for purposes of this Agreement is </w:t>
      </w:r>
      <w:r w:rsidRPr="009A09FD" w:rsidR="005010B1">
        <w:rPr>
          <w:snapToGrid w:val="0"/>
        </w:rPr>
        <w:t>[</w:t>
      </w:r>
      <w:r w:rsidRPr="009A09FD" w:rsidR="001C4B78">
        <w:rPr>
          <w:snapToGrid w:val="0"/>
        </w:rPr>
        <w:t>10:00</w:t>
      </w:r>
      <w:r w:rsidRPr="009A09FD">
        <w:rPr>
          <w:snapToGrid w:val="0"/>
        </w:rPr>
        <w:t> p.m.</w:t>
      </w:r>
      <w:r w:rsidRPr="009A09FD" w:rsidR="005010B1">
        <w:rPr>
          <w:snapToGrid w:val="0"/>
        </w:rPr>
        <w:t>]</w:t>
      </w:r>
      <w:r w:rsidRPr="009A09FD">
        <w:rPr>
          <w:snapToGrid w:val="0"/>
        </w:rPr>
        <w:t xml:space="preserve"> Hong Kong time on the date of this Agreement.</w:t>
      </w:r>
      <w:r w:rsidRPr="009A09FD" w:rsidR="009E7EF7">
        <w:rPr>
          <w:snapToGrid w:val="0"/>
        </w:rPr>
        <w:t xml:space="preserve"> Each of the Disclosure Package and the </w:t>
      </w:r>
      <w:r w:rsidRPr="009A09FD" w:rsidR="005F428E">
        <w:rPr>
          <w:snapToGrid w:val="0"/>
        </w:rPr>
        <w:t>Offering Circular</w:t>
      </w:r>
      <w:r w:rsidRPr="009A09FD" w:rsidR="009E7EF7">
        <w:rPr>
          <w:snapToGrid w:val="0"/>
        </w:rPr>
        <w:t xml:space="preserve"> sets forth certain information concerning the Company and the International Offer Shares.  The Company hereby confirms that it has authorized the use of the Preliminary Offering Circular, the Disclosure Package and the </w:t>
      </w:r>
      <w:r w:rsidRPr="009A09FD" w:rsidR="005F428E">
        <w:rPr>
          <w:snapToGrid w:val="0"/>
        </w:rPr>
        <w:t>Offering Circular</w:t>
      </w:r>
      <w:r w:rsidRPr="009A09FD" w:rsidR="009E7EF7">
        <w:rPr>
          <w:snapToGrid w:val="0"/>
        </w:rPr>
        <w:t>, and any amendment or supplement thereto, in connection with the offer and sale of the International Offer Shares by the International Underwriters.</w:t>
      </w:r>
    </w:p>
    <w:p w:rsidR="001C5107" w:rsidRPr="009A09FD" w:rsidP="00A469A2" w14:paraId="4D4AB50F" w14:textId="272DF23C">
      <w:pPr>
        <w:pStyle w:val="BodyText0"/>
        <w:rPr>
          <w:snapToGrid w:val="0"/>
        </w:rPr>
      </w:pPr>
      <w:r w:rsidRPr="009A09FD">
        <w:rPr>
          <w:snapToGrid w:val="0"/>
        </w:rPr>
        <w:t>Capitalized terms used and not defined herein shall have the meanings set forth in the Hong Kong Underwriting Agreement.  The terms “herein”, “hereof”, “hereto”, “hereinafter” and similar terms as used in this Agreement shall in each case refer to this Agreement as a whole and not to any particular section, paragraph, sentence or other subdivision of this Agreement.  The term “or” as used herein is not exclusive.  The term “</w:t>
      </w:r>
      <w:r w:rsidRPr="009A09FD">
        <w:rPr>
          <w:b/>
          <w:snapToGrid w:val="0"/>
        </w:rPr>
        <w:t>business day</w:t>
      </w:r>
      <w:r w:rsidRPr="009A09FD">
        <w:rPr>
          <w:snapToGrid w:val="0"/>
        </w:rPr>
        <w:t>”</w:t>
      </w:r>
      <w:r w:rsidRPr="009A09FD">
        <w:rPr>
          <w:b/>
          <w:snapToGrid w:val="0"/>
        </w:rPr>
        <w:t xml:space="preserve"> </w:t>
      </w:r>
      <w:r w:rsidRPr="009A09FD">
        <w:rPr>
          <w:snapToGrid w:val="0"/>
        </w:rPr>
        <w:t>as used herein shall mean a day (other than Saturday or Sunday) on which banking institutions in the PRC, Hong Kong and New York are all open generally for normal banking business</w:t>
      </w:r>
      <w:r w:rsidRPr="009A09FD">
        <w:rPr>
          <w:rFonts w:hint="eastAsia"/>
          <w:snapToGrid w:val="0"/>
        </w:rPr>
        <w:t xml:space="preserve"> and on which the Stock Exchange is open for business of dealing in securities</w:t>
      </w:r>
      <w:r w:rsidRPr="009A09FD">
        <w:rPr>
          <w:snapToGrid w:val="0"/>
        </w:rPr>
        <w:t>.</w:t>
      </w:r>
    </w:p>
    <w:p w:rsidR="001C5107" w:rsidRPr="009A09FD" w:rsidP="00A469A2" w14:paraId="4610DFFC" w14:textId="23D2E4AA">
      <w:pPr>
        <w:pStyle w:val="BodyText0"/>
        <w:rPr>
          <w:snapToGrid w:val="0"/>
        </w:rPr>
      </w:pPr>
      <w:r w:rsidRPr="009A09FD">
        <w:rPr>
          <w:snapToGrid w:val="0"/>
        </w:rPr>
        <w:t>As used herein, “</w:t>
      </w:r>
      <w:r w:rsidRPr="009A09FD">
        <w:rPr>
          <w:b/>
          <w:snapToGrid w:val="0"/>
        </w:rPr>
        <w:t>Affiliate</w:t>
      </w:r>
      <w:r w:rsidRPr="009A09FD">
        <w:rPr>
          <w:snapToGrid w:val="0"/>
        </w:rPr>
        <w:t xml:space="preserve">” has the meaning as defined in Rule 501(b) of Regulation D under the Securities Act; </w:t>
      </w:r>
      <w:bookmarkStart w:id="4" w:name="_Hlk183090883"/>
      <w:r w:rsidRPr="009A09FD">
        <w:rPr>
          <w:snapToGrid w:val="0"/>
        </w:rPr>
        <w:t>“</w:t>
      </w:r>
      <w:r w:rsidRPr="009A09FD">
        <w:rPr>
          <w:b/>
          <w:snapToGrid w:val="0"/>
        </w:rPr>
        <w:t>Laws</w:t>
      </w:r>
      <w:r w:rsidRPr="009A09FD">
        <w:rPr>
          <w:snapToGrid w:val="0"/>
        </w:rPr>
        <w:t>”</w:t>
      </w:r>
      <w:r w:rsidRPr="009A09FD">
        <w:rPr>
          <w:b/>
          <w:snapToGrid w:val="0"/>
        </w:rPr>
        <w:t xml:space="preserve"> </w:t>
      </w:r>
      <w:r w:rsidRPr="009A09FD">
        <w:rPr>
          <w:snapToGrid w:val="0"/>
        </w:rPr>
        <w:t>means all laws, rules, regulations, guidelines, opinions, notices, circulars, orders, codes, policies, consents, judgments, decrees or rulings of any court, government, law enforcement agency, governmental or regulatory authority whether national, federal, provincial, regional, state, municipal or local, domestic or foreign (including, without limitation, the Stock Exchange</w:t>
      </w:r>
      <w:r w:rsidRPr="009A09FD" w:rsidR="002E6FFB">
        <w:rPr>
          <w:snapToGrid w:val="0"/>
        </w:rPr>
        <w:t>,</w:t>
      </w:r>
      <w:r w:rsidRPr="009A09FD">
        <w:rPr>
          <w:snapToGrid w:val="0"/>
        </w:rPr>
        <w:t xml:space="preserve"> the SFC</w:t>
      </w:r>
      <w:r w:rsidRPr="009A09FD" w:rsidR="002E6FFB">
        <w:rPr>
          <w:snapToGrid w:val="0"/>
        </w:rPr>
        <w:t xml:space="preserve"> and the CSRC</w:t>
      </w:r>
      <w:r w:rsidRPr="009A09FD">
        <w:rPr>
          <w:snapToGrid w:val="0"/>
        </w:rPr>
        <w:t xml:space="preserve">) of all relevant jurisdictions (including, without limitation, </w:t>
      </w:r>
      <w:r w:rsidRPr="009A09FD" w:rsidR="002E6FFB">
        <w:rPr>
          <w:snapToGrid w:val="0"/>
        </w:rPr>
        <w:t>Hong Kong, the PRC and [</w:t>
      </w:r>
      <w:r w:rsidRPr="009A09FD" w:rsidR="002E6FFB">
        <w:rPr>
          <w:i/>
          <w:iCs/>
          <w:snapToGrid w:val="0"/>
        </w:rPr>
        <w:t>insert relevant jurisdiction</w:t>
      </w:r>
      <w:r w:rsidRPr="009A09FD" w:rsidR="004A0628">
        <w:rPr>
          <w:i/>
          <w:iCs/>
          <w:snapToGrid w:val="0"/>
        </w:rPr>
        <w:t>(</w:t>
      </w:r>
      <w:r w:rsidRPr="009A09FD" w:rsidR="002E6FFB">
        <w:rPr>
          <w:i/>
          <w:iCs/>
          <w:snapToGrid w:val="0"/>
        </w:rPr>
        <w:t>s</w:t>
      </w:r>
      <w:r w:rsidRPr="009A09FD" w:rsidR="004A0628">
        <w:rPr>
          <w:i/>
          <w:iCs/>
          <w:snapToGrid w:val="0"/>
        </w:rPr>
        <w:t>)</w:t>
      </w:r>
      <w:r w:rsidRPr="009A09FD" w:rsidR="002E6FFB">
        <w:rPr>
          <w:snapToGrid w:val="0"/>
        </w:rPr>
        <w:t>]</w:t>
      </w:r>
      <w:r w:rsidRPr="009A09FD">
        <w:rPr>
          <w:snapToGrid w:val="0"/>
        </w:rPr>
        <w:t>)</w:t>
      </w:r>
      <w:r w:rsidRPr="009A09FD" w:rsidR="009E0E92">
        <w:rPr>
          <w:snapToGrid w:val="0"/>
        </w:rPr>
        <w:t>, including, without limitation, the Listing Rules, the Code of Conduct, the Companies Ordinance, the Companies (</w:t>
      </w:r>
      <w:r w:rsidRPr="009A09FD" w:rsidR="002E6FFB">
        <w:rPr>
          <w:snapToGrid w:val="0"/>
        </w:rPr>
        <w:t>Winding up and Miscellaneous Provisions</w:t>
      </w:r>
      <w:r w:rsidRPr="009A09FD" w:rsidR="009E0E92">
        <w:rPr>
          <w:snapToGrid w:val="0"/>
        </w:rPr>
        <w:t>) Ordinance</w:t>
      </w:r>
      <w:r w:rsidRPr="009A09FD" w:rsidR="000B1A75">
        <w:rPr>
          <w:snapToGrid w:val="0"/>
        </w:rPr>
        <w:t xml:space="preserve"> (the “</w:t>
      </w:r>
      <w:r w:rsidRPr="009A09FD" w:rsidR="000B1A75">
        <w:rPr>
          <w:b/>
          <w:bCs/>
          <w:snapToGrid w:val="0"/>
        </w:rPr>
        <w:t>C(WUMP)O</w:t>
      </w:r>
      <w:r w:rsidRPr="009A09FD" w:rsidR="000B1A75">
        <w:rPr>
          <w:snapToGrid w:val="0"/>
        </w:rPr>
        <w:t>”)</w:t>
      </w:r>
      <w:r w:rsidRPr="009A09FD" w:rsidR="009E0E92">
        <w:rPr>
          <w:snapToGrid w:val="0"/>
        </w:rPr>
        <w:t xml:space="preserve">, </w:t>
      </w:r>
      <w:r w:rsidRPr="009A09FD" w:rsidR="00757CBF">
        <w:rPr>
          <w:rFonts w:hint="eastAsia"/>
          <w:snapToGrid w:val="0"/>
        </w:rPr>
        <w:t>the Trial Administrative Measures of Overseas Securities Offering and Listing by Domestic Companies (</w:t>
      </w:r>
      <w:r w:rsidRPr="009A09FD" w:rsidR="00757CBF">
        <w:rPr>
          <w:rFonts w:hint="eastAsia"/>
          <w:snapToGrid w:val="0"/>
        </w:rPr>
        <w:t>境內企業境外發行證券和上市管理試行辦法</w:t>
      </w:r>
      <w:r w:rsidRPr="009A09FD" w:rsidR="00757CBF">
        <w:rPr>
          <w:rFonts w:hint="eastAsia"/>
          <w:snapToGrid w:val="0"/>
        </w:rPr>
        <w:t xml:space="preserve">) and supporting guidelines </w:t>
      </w:r>
      <w:r w:rsidRPr="009A09FD" w:rsidR="007113A8">
        <w:rPr>
          <w:snapToGrid w:val="0"/>
        </w:rPr>
        <w:t>(the “</w:t>
      </w:r>
      <w:r w:rsidRPr="009A09FD" w:rsidR="007113A8">
        <w:rPr>
          <w:b/>
          <w:bCs/>
          <w:snapToGrid w:val="0"/>
        </w:rPr>
        <w:t>CSRC Filing Rules</w:t>
      </w:r>
      <w:r w:rsidRPr="009A09FD" w:rsidR="007113A8">
        <w:rPr>
          <w:snapToGrid w:val="0"/>
        </w:rPr>
        <w:t xml:space="preserve">”) </w:t>
      </w:r>
      <w:r w:rsidRPr="009A09FD" w:rsidR="00757CBF">
        <w:rPr>
          <w:rFonts w:hint="eastAsia"/>
          <w:snapToGrid w:val="0"/>
        </w:rPr>
        <w:t xml:space="preserve">issued by </w:t>
      </w:r>
      <w:r w:rsidRPr="009A09FD" w:rsidR="007113A8">
        <w:rPr>
          <w:snapToGrid w:val="0"/>
        </w:rPr>
        <w:t>the China Securities Regulatory Commission</w:t>
      </w:r>
      <w:r w:rsidRPr="009A09FD" w:rsidR="007113A8">
        <w:rPr>
          <w:rFonts w:hint="eastAsia"/>
          <w:snapToGrid w:val="0"/>
        </w:rPr>
        <w:t xml:space="preserve"> </w:t>
      </w:r>
      <w:r w:rsidRPr="009A09FD" w:rsidR="007113A8">
        <w:rPr>
          <w:snapToGrid w:val="0"/>
        </w:rPr>
        <w:t>(</w:t>
      </w:r>
      <w:r w:rsidRPr="009A09FD" w:rsidR="00757CBF">
        <w:rPr>
          <w:rFonts w:hint="eastAsia"/>
          <w:snapToGrid w:val="0"/>
        </w:rPr>
        <w:t xml:space="preserve">the </w:t>
      </w:r>
      <w:r w:rsidRPr="009A09FD" w:rsidR="007113A8">
        <w:rPr>
          <w:snapToGrid w:val="0"/>
        </w:rPr>
        <w:t>“</w:t>
      </w:r>
      <w:r w:rsidRPr="009A09FD" w:rsidR="00757CBF">
        <w:rPr>
          <w:rFonts w:hint="eastAsia"/>
          <w:b/>
          <w:bCs/>
          <w:snapToGrid w:val="0"/>
        </w:rPr>
        <w:t>CSRC</w:t>
      </w:r>
      <w:r w:rsidRPr="009A09FD" w:rsidR="007113A8">
        <w:rPr>
          <w:snapToGrid w:val="0"/>
        </w:rPr>
        <w:t>”)</w:t>
      </w:r>
      <w:r w:rsidRPr="009A09FD" w:rsidR="00757CBF">
        <w:rPr>
          <w:snapToGrid w:val="0"/>
        </w:rPr>
        <w:t xml:space="preserve">, </w:t>
      </w:r>
      <w:r w:rsidRPr="009A09FD" w:rsidR="00757CBF">
        <w:rPr>
          <w:rFonts w:hint="eastAsia"/>
          <w:snapToGrid w:val="0"/>
        </w:rPr>
        <w:t>the Provisions on Strengthening Confidentiality and Archives Administration of Overseas Securities Offering and Listing by Domestic Companies (</w:t>
      </w:r>
      <w:r w:rsidRPr="009A09FD" w:rsidR="00757CBF">
        <w:rPr>
          <w:rFonts w:hint="eastAsia"/>
          <w:snapToGrid w:val="0"/>
        </w:rPr>
        <w:t>關於加強境內企業境外發行證券和上市相關保密和檔案管理工作的規定</w:t>
      </w:r>
      <w:r w:rsidRPr="009A09FD" w:rsidR="00757CBF">
        <w:rPr>
          <w:rFonts w:hint="eastAsia"/>
          <w:snapToGrid w:val="0"/>
        </w:rPr>
        <w:t xml:space="preserve">) </w:t>
      </w:r>
      <w:r w:rsidRPr="009A09FD" w:rsidR="00757CBF">
        <w:rPr>
          <w:snapToGrid w:val="0"/>
        </w:rPr>
        <w:t>(the “</w:t>
      </w:r>
      <w:r w:rsidRPr="009A09FD" w:rsidR="00757CBF">
        <w:rPr>
          <w:b/>
          <w:bCs/>
          <w:snapToGrid w:val="0"/>
        </w:rPr>
        <w:t>CSRC Archive Rules</w:t>
      </w:r>
      <w:r w:rsidRPr="009A09FD" w:rsidR="00757CBF">
        <w:rPr>
          <w:snapToGrid w:val="0"/>
        </w:rPr>
        <w:t>”, and together with the CSRC Filing Rules, the “</w:t>
      </w:r>
      <w:r w:rsidRPr="009A09FD" w:rsidR="00757CBF">
        <w:rPr>
          <w:b/>
          <w:bCs/>
          <w:snapToGrid w:val="0"/>
        </w:rPr>
        <w:t>CSRC Rules</w:t>
      </w:r>
      <w:r w:rsidRPr="009A09FD" w:rsidR="00757CBF">
        <w:rPr>
          <w:snapToGrid w:val="0"/>
        </w:rPr>
        <w:t>”)</w:t>
      </w:r>
      <w:bookmarkEnd w:id="4"/>
      <w:r w:rsidRPr="009A09FD">
        <w:rPr>
          <w:snapToGrid w:val="0"/>
        </w:rPr>
        <w:t>; “</w:t>
      </w:r>
      <w:r w:rsidR="00B42DAF">
        <w:rPr>
          <w:rFonts w:cs="Times New Roman"/>
          <w:b/>
          <w:bCs/>
          <w:sz w:val="22"/>
          <w:szCs w:val="22"/>
        </w:rPr>
        <w:t>Approvals and Filings</w:t>
      </w:r>
      <w:r w:rsidRPr="009A09FD">
        <w:rPr>
          <w:snapToGrid w:val="0"/>
        </w:rPr>
        <w:t>” means all approvals, sanctions, consents, permissions, certificates, authori</w:t>
      </w:r>
      <w:r w:rsidRPr="009A09FD" w:rsidR="00A77B8C">
        <w:rPr>
          <w:snapToGrid w:val="0"/>
        </w:rPr>
        <w:t>z</w:t>
      </w:r>
      <w:r w:rsidRPr="009A09FD">
        <w:rPr>
          <w:snapToGrid w:val="0"/>
        </w:rPr>
        <w:t xml:space="preserve">ations, licenses, permits, clearances, orders, concessions, qualifications, registrations, declarations and franchises from any person, and filings and registrations with any person, of any relevant jurisdictions, including, without limitation, </w:t>
      </w:r>
      <w:r w:rsidRPr="009A09FD" w:rsidR="004A0628">
        <w:rPr>
          <w:snapToGrid w:val="0"/>
        </w:rPr>
        <w:t>Hong Kong, the PRC</w:t>
      </w:r>
      <w:r w:rsidR="009B37AB">
        <w:rPr>
          <w:snapToGrid w:val="0"/>
        </w:rPr>
        <w:t>, the Cayman Islands</w:t>
      </w:r>
      <w:r w:rsidRPr="009A09FD" w:rsidR="004A0628">
        <w:rPr>
          <w:snapToGrid w:val="0"/>
        </w:rPr>
        <w:t xml:space="preserve"> and [</w:t>
      </w:r>
      <w:r w:rsidRPr="009B37AB" w:rsidR="004A0628">
        <w:rPr>
          <w:b/>
          <w:bCs/>
          <w:i/>
          <w:iCs/>
          <w:snapToGrid w:val="0"/>
        </w:rPr>
        <w:t>insert relevant jurisdiction(s) as applicable</w:t>
      </w:r>
      <w:r w:rsidRPr="009A09FD" w:rsidR="004A0628">
        <w:rPr>
          <w:snapToGrid w:val="0"/>
        </w:rPr>
        <w:t>]</w:t>
      </w:r>
      <w:r w:rsidRPr="009A09FD">
        <w:rPr>
          <w:snapToGrid w:val="0"/>
        </w:rPr>
        <w:t>; “</w:t>
      </w:r>
      <w:r w:rsidRPr="009A09FD">
        <w:rPr>
          <w:b/>
          <w:snapToGrid w:val="0"/>
        </w:rPr>
        <w:t>Authority</w:t>
      </w:r>
      <w:r w:rsidRPr="009A09FD">
        <w:rPr>
          <w:snapToGrid w:val="0"/>
        </w:rPr>
        <w:t xml:space="preserve">” means </w:t>
      </w:r>
      <w:r w:rsidRPr="009A09FD" w:rsidR="004A0628">
        <w:rPr>
          <w:szCs w:val="22"/>
        </w:rPr>
        <w:t>any administrative, governmental, legislative or regulatory commission, board, body, authority or agency, or any stock exchange, self-regulatory organization or other non-governmental regulatory authority, or any court, tribunal or arbitrator, in each case whether national, central, federal, provincial, state, regional, municipal, local, domestic, foreign or supranational, including, without limitation, the CSRC, the Stock Exchange and the SFC</w:t>
      </w:r>
      <w:r w:rsidRPr="009A09FD">
        <w:rPr>
          <w:snapToGrid w:val="0"/>
        </w:rPr>
        <w:t>; “</w:t>
      </w:r>
      <w:r w:rsidRPr="009A09FD">
        <w:rPr>
          <w:b/>
          <w:snapToGrid w:val="0"/>
        </w:rPr>
        <w:t>Taxes</w:t>
      </w:r>
      <w:r w:rsidRPr="009A09FD">
        <w:rPr>
          <w:snapToGrid w:val="0"/>
        </w:rPr>
        <w:t>” or “</w:t>
      </w:r>
      <w:r w:rsidRPr="009A09FD">
        <w:rPr>
          <w:b/>
          <w:snapToGrid w:val="0"/>
        </w:rPr>
        <w:t>Taxation</w:t>
      </w:r>
      <w:r w:rsidRPr="009A09FD">
        <w:rPr>
          <w:snapToGrid w:val="0"/>
        </w:rPr>
        <w:t xml:space="preserve">” means </w:t>
      </w:r>
      <w:r w:rsidRPr="009A09FD" w:rsidR="004A0628">
        <w:rPr>
          <w:szCs w:val="22"/>
        </w:rPr>
        <w:t>all forms of taxation whenever created, imposed or arising and whether of Hong Kong, the PRC, the Cayman Islands and [</w:t>
      </w:r>
      <w:r w:rsidRPr="009A09FD" w:rsidR="004A0628">
        <w:rPr>
          <w:b/>
          <w:bCs/>
          <w:i/>
          <w:iCs/>
          <w:szCs w:val="22"/>
        </w:rPr>
        <w:t>insert relevant jurisdiction(s)</w:t>
      </w:r>
      <w:r w:rsidRPr="009A09FD" w:rsidR="004A0628">
        <w:rPr>
          <w:szCs w:val="22"/>
        </w:rPr>
        <w:t>] or of any other part of the world and, without prejudice to the generality of the foregoing, includes all forms of taxation on or relating to profits, salaries, interest and other forms of income, taxation on capital gains, sales and value added taxation, business tax, estate duty, death duty, capital duty, stamp duty, payroll taxation, withholding taxation, rates and other taxes or charges relating to property, customs and other import and excise duties, and generally any taxation, fee, assessment, duty, impost, levy, rate, charge or any amount payable to taxing, revenue, customs or fiscal Authorities whether of Hong Kong, the PRC, Cayman Islands [</w:t>
      </w:r>
      <w:r w:rsidRPr="009A09FD" w:rsidR="004A0628">
        <w:rPr>
          <w:b/>
          <w:bCs/>
          <w:i/>
          <w:iCs/>
          <w:szCs w:val="22"/>
        </w:rPr>
        <w:t>insert relevant jurisdiction(s)</w:t>
      </w:r>
      <w:r w:rsidRPr="009A09FD" w:rsidR="004A0628">
        <w:rPr>
          <w:szCs w:val="22"/>
        </w:rPr>
        <w:t>] or of any other part of the world, whether by way of actual assessment, withholding, loss of allowance, deduction or credit available for relief or otherwise, and including all interest, additions to tax, penalties or similar liabilities arising in respect of any taxation</w:t>
      </w:r>
      <w:r w:rsidRPr="009A09FD">
        <w:rPr>
          <w:snapToGrid w:val="0"/>
        </w:rPr>
        <w:t>; and “</w:t>
      </w:r>
      <w:r w:rsidRPr="009A09FD">
        <w:rPr>
          <w:b/>
          <w:snapToGrid w:val="0"/>
        </w:rPr>
        <w:t>Encumbrance</w:t>
      </w:r>
      <w:r w:rsidRPr="009A09FD">
        <w:rPr>
          <w:snapToGrid w:val="0"/>
        </w:rPr>
        <w:t xml:space="preserve">” means </w:t>
      </w:r>
      <w:r w:rsidRPr="009A09FD" w:rsidR="00987A37">
        <w:rPr>
          <w:szCs w:val="22"/>
        </w:rPr>
        <w:t>any mortgage, charge, pledge, lien, option, restriction, right of first refusal, equitable right, power of sale, hypothecation, retention of title, right of pre-emption or other third party claim, claim, defect, right, interest or preference granted to any third party, or any other encumbrance or security interest of any kind, or an agreement, arrangement or obligation to create any of the foregoing</w:t>
      </w:r>
      <w:r w:rsidRPr="009A09FD">
        <w:rPr>
          <w:snapToGrid w:val="0"/>
        </w:rPr>
        <w:t xml:space="preserve">.  </w:t>
      </w:r>
      <w:r w:rsidRPr="009A09FD" w:rsidR="00D83783">
        <w:rPr>
          <w:snapToGrid w:val="0"/>
        </w:rPr>
        <w:t>[</w:t>
      </w:r>
      <w:r w:rsidRPr="009A09FD">
        <w:rPr>
          <w:snapToGrid w:val="0"/>
        </w:rPr>
        <w:t>References in this Agreement to knowledge, information, belief or awareness or similar terms (“</w:t>
      </w:r>
      <w:r w:rsidRPr="009A09FD">
        <w:rPr>
          <w:b/>
          <w:snapToGrid w:val="0"/>
        </w:rPr>
        <w:t>knowledge</w:t>
      </w:r>
      <w:r w:rsidRPr="009A09FD">
        <w:rPr>
          <w:snapToGrid w:val="0"/>
        </w:rPr>
        <w:t>”) of any person shall be treated as including but not limited to any knowledge, information, belief and awareness which the person would have had if such person had made due, diligent and careful enquiries.</w:t>
      </w:r>
      <w:bookmarkStart w:id="5" w:name="_Ref367265567"/>
      <w:r w:rsidRPr="009A09FD" w:rsidR="00D83783">
        <w:rPr>
          <w:snapToGrid w:val="0"/>
        </w:rPr>
        <w:t xml:space="preserve">] </w:t>
      </w:r>
    </w:p>
    <w:p w:rsidR="001C5107" w:rsidRPr="009A09FD" w:rsidP="00A469A2" w14:paraId="106D90BB" w14:textId="77777777">
      <w:pPr>
        <w:pStyle w:val="Heading1"/>
        <w:rPr>
          <w:snapToGrid w:val="0"/>
        </w:rPr>
      </w:pPr>
      <w:bookmarkStart w:id="6" w:name="_Ref517407314"/>
      <w:bookmarkStart w:id="7" w:name="_Ref517407328"/>
      <w:bookmarkStart w:id="8" w:name="_Ref517407391"/>
      <w:bookmarkStart w:id="9" w:name="_Ref517407421"/>
      <w:bookmarkStart w:id="10" w:name="_Ref517407565"/>
      <w:bookmarkStart w:id="11" w:name="_Ref517407643"/>
      <w:bookmarkStart w:id="12" w:name="_Ref517407647"/>
      <w:bookmarkStart w:id="13" w:name="_Ref517407793"/>
      <w:bookmarkStart w:id="14" w:name="_Toc517409033"/>
      <w:bookmarkStart w:id="15" w:name="_Toc72862701"/>
      <w:r w:rsidRPr="009A09FD">
        <w:rPr>
          <w:snapToGrid w:val="0"/>
        </w:rPr>
        <w:t>Sale and Purchase</w:t>
      </w:r>
      <w:bookmarkEnd w:id="5"/>
      <w:bookmarkEnd w:id="6"/>
      <w:bookmarkEnd w:id="7"/>
      <w:bookmarkEnd w:id="8"/>
      <w:bookmarkEnd w:id="9"/>
      <w:bookmarkEnd w:id="10"/>
      <w:bookmarkEnd w:id="11"/>
      <w:bookmarkEnd w:id="12"/>
      <w:bookmarkEnd w:id="13"/>
      <w:bookmarkEnd w:id="14"/>
      <w:bookmarkEnd w:id="15"/>
    </w:p>
    <w:p w:rsidR="001C5107" w:rsidRPr="009A09FD" w:rsidP="00A469A2" w14:paraId="565602AA" w14:textId="04CB2FF0">
      <w:pPr>
        <w:pStyle w:val="Heading3"/>
        <w:rPr>
          <w:snapToGrid w:val="0"/>
        </w:rPr>
      </w:pPr>
      <w:bookmarkStart w:id="16" w:name="_Ref367265568"/>
      <w:bookmarkStart w:id="17" w:name="_Ref367266277"/>
      <w:bookmarkEnd w:id="16"/>
      <w:r w:rsidRPr="009A09FD">
        <w:rPr>
          <w:snapToGrid w:val="0"/>
        </w:rPr>
        <w:t>Upon the basis of the representations and warranties and subject to the terms and conditions herein set forth, the Company agrees to issue and sell to the several International Underwriters</w:t>
      </w:r>
      <w:r w:rsidRPr="009A09FD" w:rsidR="00E866CC">
        <w:rPr>
          <w:snapToGrid w:val="0"/>
        </w:rPr>
        <w:t xml:space="preserve"> or their respective Affiliates</w:t>
      </w:r>
      <w:r w:rsidRPr="009A09FD">
        <w:rPr>
          <w:snapToGrid w:val="0"/>
        </w:rPr>
        <w:t xml:space="preserve">, or to the subsequent purchasers, and each of the International Underwriters, severally </w:t>
      </w:r>
      <w:r w:rsidRPr="009A09FD" w:rsidR="00932A9D">
        <w:rPr>
          <w:snapToGrid w:val="0"/>
        </w:rPr>
        <w:t xml:space="preserve">but </w:t>
      </w:r>
      <w:r w:rsidRPr="009A09FD" w:rsidR="00C379E1">
        <w:rPr>
          <w:snapToGrid w:val="0"/>
        </w:rPr>
        <w:t>not jointly</w:t>
      </w:r>
      <w:r w:rsidRPr="009A09FD">
        <w:rPr>
          <w:snapToGrid w:val="0"/>
        </w:rPr>
        <w:t xml:space="preserve">, agrees to purchase itself or through its Affiliates from the Company, or to procure purchasers for, the number of Firm Shares set forth opposite the name of such International Underwriter in </w:t>
      </w:r>
      <w:r w:rsidRPr="009A09FD" w:rsidR="000D2960">
        <w:rPr>
          <w:snapToGrid w:val="0"/>
        </w:rPr>
        <w:t xml:space="preserve">Part A of </w:t>
      </w:r>
      <w:r w:rsidRPr="009A09FD" w:rsidR="00604886">
        <w:rPr>
          <w:snapToGrid w:val="0"/>
        </w:rPr>
        <w:fldChar w:fldCharType="begin"/>
      </w:r>
      <w:r w:rsidRPr="009A09FD" w:rsidR="00604886">
        <w:rPr>
          <w:snapToGrid w:val="0"/>
        </w:rPr>
        <w:instrText xml:space="preserve"> REF _Ref155101112 \r \h </w:instrText>
      </w:r>
      <w:r w:rsidR="009A09FD">
        <w:rPr>
          <w:snapToGrid w:val="0"/>
        </w:rPr>
        <w:instrText xml:space="preserve"> \* MERGEFORMAT </w:instrText>
      </w:r>
      <w:r w:rsidRPr="009A09FD" w:rsidR="00604886">
        <w:rPr>
          <w:snapToGrid w:val="0"/>
        </w:rPr>
        <w:fldChar w:fldCharType="separate"/>
      </w:r>
      <w:r w:rsidRPr="009A09FD" w:rsidR="00ED2E07">
        <w:rPr>
          <w:snapToGrid w:val="0"/>
        </w:rPr>
        <w:t>Schedule I</w:t>
      </w:r>
      <w:r w:rsidRPr="009A09FD" w:rsidR="00604886">
        <w:rPr>
          <w:snapToGrid w:val="0"/>
        </w:rPr>
        <w:fldChar w:fldCharType="end"/>
      </w:r>
      <w:r w:rsidRPr="009A09FD">
        <w:rPr>
          <w:snapToGrid w:val="0"/>
        </w:rPr>
        <w:t xml:space="preserve"> hereto (subject to any reallocation of Offer Shares </w:t>
      </w:r>
      <w:r w:rsidRPr="009A09FD" w:rsidR="008E410F">
        <w:rPr>
          <w:snapToGrid w:val="0"/>
        </w:rPr>
        <w:t xml:space="preserve">by the Overall Coordinators </w:t>
      </w:r>
      <w:r w:rsidRPr="009A09FD">
        <w:rPr>
          <w:snapToGrid w:val="0"/>
        </w:rPr>
        <w:t xml:space="preserve">between the International Offering and the Hong Kong Public Offering and subject to adjustment in accordance with Section </w:t>
      </w:r>
      <w:r w:rsidRPr="009A09FD">
        <w:rPr>
          <w:snapToGrid w:val="0"/>
        </w:rPr>
        <w:fldChar w:fldCharType="begin"/>
      </w:r>
      <w:r w:rsidRPr="009A09FD">
        <w:rPr>
          <w:snapToGrid w:val="0"/>
        </w:rPr>
        <w:instrText xml:space="preserve">  REF _Ref367265687 \r \h \* MERGEFORMAT </w:instrText>
      </w:r>
      <w:r w:rsidRPr="009A09FD">
        <w:rPr>
          <w:snapToGrid w:val="0"/>
        </w:rPr>
        <w:fldChar w:fldCharType="separate"/>
      </w:r>
      <w:r w:rsidRPr="009A09FD" w:rsidR="00ED2E07">
        <w:rPr>
          <w:snapToGrid w:val="0"/>
        </w:rPr>
        <w:t>10</w:t>
      </w:r>
      <w:r w:rsidRPr="009A09FD">
        <w:rPr>
          <w:snapToGrid w:val="0"/>
        </w:rPr>
        <w:fldChar w:fldCharType="end"/>
      </w:r>
      <w:r w:rsidRPr="009A09FD">
        <w:rPr>
          <w:snapToGrid w:val="0"/>
        </w:rPr>
        <w:t xml:space="preserve"> hereof), at the Offer Price.</w:t>
      </w:r>
      <w:bookmarkEnd w:id="17"/>
    </w:p>
    <w:p w:rsidR="001C5107" w:rsidRPr="009A09FD" w:rsidP="003C6CDA" w14:paraId="3CB11E75" w14:textId="01FAB679">
      <w:pPr>
        <w:pStyle w:val="BodyText2"/>
        <w:rPr>
          <w:snapToGrid w:val="0"/>
        </w:rPr>
      </w:pPr>
      <w:r w:rsidRPr="009A09FD">
        <w:rPr>
          <w:snapToGrid w:val="0"/>
        </w:rPr>
        <w:t>[</w:t>
      </w:r>
      <w:r w:rsidRPr="009A09FD" w:rsidR="006A62F4">
        <w:rPr>
          <w:snapToGrid w:val="0"/>
        </w:rPr>
        <w:t>In addition, the Company hereby grant</w:t>
      </w:r>
      <w:r w:rsidRPr="009A09FD" w:rsidR="006A62F4">
        <w:rPr>
          <w:rFonts w:hint="eastAsia"/>
          <w:snapToGrid w:val="0"/>
        </w:rPr>
        <w:t>s</w:t>
      </w:r>
      <w:r w:rsidRPr="009A09FD" w:rsidR="006A62F4">
        <w:rPr>
          <w:snapToGrid w:val="0"/>
        </w:rPr>
        <w:t xml:space="preserve"> to the several International Underwriters the option (the “</w:t>
      </w:r>
      <w:r w:rsidRPr="009A09FD" w:rsidR="006A62F4">
        <w:rPr>
          <w:b/>
          <w:snapToGrid w:val="0"/>
        </w:rPr>
        <w:t>Over-allotment Option</w:t>
      </w:r>
      <w:r w:rsidRPr="009A09FD" w:rsidR="006A62F4">
        <w:rPr>
          <w:snapToGrid w:val="0"/>
        </w:rPr>
        <w:t xml:space="preserve">”), severally </w:t>
      </w:r>
      <w:r w:rsidRPr="009A09FD" w:rsidR="00932A9D">
        <w:rPr>
          <w:snapToGrid w:val="0"/>
        </w:rPr>
        <w:t>but not jointly</w:t>
      </w:r>
      <w:r w:rsidRPr="009A09FD" w:rsidR="006A62F4">
        <w:rPr>
          <w:snapToGrid w:val="0"/>
        </w:rPr>
        <w:t>, to purchase</w:t>
      </w:r>
      <w:r w:rsidRPr="009A09FD" w:rsidR="00932A9D">
        <w:rPr>
          <w:snapToGrid w:val="0"/>
        </w:rPr>
        <w:t>,</w:t>
      </w:r>
      <w:r w:rsidRPr="009A09FD" w:rsidR="00581DF3">
        <w:rPr>
          <w:snapToGrid w:val="0"/>
        </w:rPr>
        <w:t xml:space="preserve"> or procure purchasers for, up to the number of </w:t>
      </w:r>
      <w:r w:rsidRPr="009A09FD" w:rsidR="00A20611">
        <w:rPr>
          <w:snapToGrid w:val="0"/>
        </w:rPr>
        <w:t xml:space="preserve">Over-allotment </w:t>
      </w:r>
      <w:r w:rsidRPr="009A09FD" w:rsidR="00581DF3">
        <w:rPr>
          <w:snapToGrid w:val="0"/>
        </w:rPr>
        <w:t>Option Shares</w:t>
      </w:r>
      <w:r w:rsidRPr="009A09FD" w:rsidR="00932A9D">
        <w:rPr>
          <w:snapToGrid w:val="0"/>
        </w:rPr>
        <w:t>;</w:t>
      </w:r>
      <w:r w:rsidRPr="009A09FD" w:rsidR="006A62F4">
        <w:rPr>
          <w:snapToGrid w:val="0"/>
        </w:rPr>
        <w:t xml:space="preserve"> upon the basis of the representations and warranties and subject to the terms and conditions herein set forth, each of the International Underwriters shall have the right, severally </w:t>
      </w:r>
      <w:r w:rsidRPr="009A09FD" w:rsidR="00932A9D">
        <w:rPr>
          <w:snapToGrid w:val="0"/>
        </w:rPr>
        <w:t>but not jointly</w:t>
      </w:r>
      <w:r w:rsidRPr="009A09FD" w:rsidR="006A62F4">
        <w:rPr>
          <w:snapToGrid w:val="0"/>
        </w:rPr>
        <w:t>, to purchase</w:t>
      </w:r>
      <w:r w:rsidRPr="009A09FD" w:rsidR="00932A9D">
        <w:rPr>
          <w:snapToGrid w:val="0"/>
        </w:rPr>
        <w:t>,</w:t>
      </w:r>
      <w:r w:rsidRPr="009A09FD" w:rsidR="006A62F4">
        <w:rPr>
          <w:snapToGrid w:val="0"/>
        </w:rPr>
        <w:t xml:space="preserve"> itself or through its Affiliates</w:t>
      </w:r>
      <w:r w:rsidRPr="009A09FD" w:rsidR="00932A9D">
        <w:rPr>
          <w:snapToGrid w:val="0"/>
        </w:rPr>
        <w:t>,</w:t>
      </w:r>
      <w:r w:rsidRPr="009A09FD" w:rsidR="006A62F4">
        <w:rPr>
          <w:snapToGrid w:val="0"/>
        </w:rPr>
        <w:t xml:space="preserve">all or a portion of the Over-allotment Option Shares </w:t>
      </w:r>
      <w:r w:rsidRPr="009A09FD" w:rsidR="00BD61B9">
        <w:rPr>
          <w:snapToGrid w:val="0"/>
        </w:rPr>
        <w:t xml:space="preserve">from the Company at the Offer Price </w:t>
      </w:r>
      <w:r w:rsidRPr="009A09FD" w:rsidR="006A62F4">
        <w:rPr>
          <w:snapToGrid w:val="0"/>
        </w:rPr>
        <w:t xml:space="preserve">to cover, among other things, over-allocations made in connection with the offering of the Firm Shares.  The Over-allotment Option may be exercised by the </w:t>
      </w:r>
      <w:r w:rsidRPr="009A09FD" w:rsidR="00705163">
        <w:rPr>
          <w:snapToGrid w:val="0"/>
        </w:rPr>
        <w:t>Overall Coordinators</w:t>
      </w:r>
      <w:r w:rsidRPr="009A09FD" w:rsidR="006A62F4">
        <w:rPr>
          <w:rFonts w:hint="eastAsia"/>
          <w:snapToGrid w:val="0"/>
        </w:rPr>
        <w:t xml:space="preserve"> </w:t>
      </w:r>
      <w:r w:rsidRPr="009A09FD" w:rsidR="006A62F4">
        <w:rPr>
          <w:snapToGrid w:val="0"/>
        </w:rPr>
        <w:t xml:space="preserve">in their sole and absolute discretion </w:t>
      </w:r>
      <w:r w:rsidRPr="009A09FD" w:rsidR="00B07579">
        <w:rPr>
          <w:snapToGrid w:val="0"/>
        </w:rPr>
        <w:t xml:space="preserve">for themselves and </w:t>
      </w:r>
      <w:r w:rsidRPr="009A09FD" w:rsidR="006A62F4">
        <w:rPr>
          <w:snapToGrid w:val="0"/>
        </w:rPr>
        <w:t xml:space="preserve">on behalf of the several International Underwriters at any time and from time to time on or before the expiration of the period of thirty (30) calendar days from the last day for the lodging of applications under the Hong Kong Public Offering by written notice, substantially in the form set forth in Exhibit </w:t>
      </w:r>
      <w:r w:rsidRPr="009A09FD" w:rsidR="00381D22">
        <w:rPr>
          <w:snapToGrid w:val="0"/>
        </w:rPr>
        <w:t>E</w:t>
      </w:r>
      <w:r w:rsidRPr="009A09FD" w:rsidR="00063F1D">
        <w:rPr>
          <w:snapToGrid w:val="0"/>
        </w:rPr>
        <w:t xml:space="preserve"> </w:t>
      </w:r>
      <w:r w:rsidRPr="009A09FD" w:rsidR="006A62F4">
        <w:rPr>
          <w:snapToGrid w:val="0"/>
        </w:rPr>
        <w:t xml:space="preserve">hereto, to the Company.  Such notice shall set forth the aggregate number of Over-allotment Option Shares as to which the Over-allotment Option is being exercised and the date and time when the Over-allotment Option Shares are to be delivered; </w:t>
      </w:r>
      <w:r w:rsidRPr="009A09FD" w:rsidR="006A62F4">
        <w:rPr>
          <w:b/>
          <w:snapToGrid w:val="0"/>
        </w:rPr>
        <w:t>provided, however, that</w:t>
      </w:r>
      <w:r w:rsidRPr="009A09FD" w:rsidR="006A62F4">
        <w:rPr>
          <w:snapToGrid w:val="0"/>
        </w:rPr>
        <w:t xml:space="preserve"> no such date and time of delivery of the Over-allotment Option Shares shall be earlier than the First Time of Delivery (as defined in Section </w:t>
      </w:r>
      <w:r w:rsidRPr="009A09FD" w:rsidR="006A62F4">
        <w:rPr>
          <w:snapToGrid w:val="0"/>
        </w:rPr>
        <w:fldChar w:fldCharType="begin"/>
      </w:r>
      <w:r w:rsidRPr="009A09FD" w:rsidR="006A62F4">
        <w:rPr>
          <w:snapToGrid w:val="0"/>
        </w:rPr>
        <w:instrText xml:space="preserve">  REF _Ref367265578 \r \h \* MERGEFORMAT </w:instrText>
      </w:r>
      <w:r w:rsidRPr="009A09FD" w:rsidR="006A62F4">
        <w:rPr>
          <w:snapToGrid w:val="0"/>
        </w:rPr>
        <w:fldChar w:fldCharType="separate"/>
      </w:r>
      <w:r w:rsidRPr="009A09FD" w:rsidR="00ED2E07">
        <w:rPr>
          <w:snapToGrid w:val="0"/>
        </w:rPr>
        <w:t>2</w:t>
      </w:r>
      <w:r w:rsidRPr="009A09FD" w:rsidR="006A62F4">
        <w:rPr>
          <w:snapToGrid w:val="0"/>
        </w:rPr>
        <w:fldChar w:fldCharType="end"/>
      </w:r>
      <w:r w:rsidRPr="009A09FD" w:rsidR="006A62F4">
        <w:rPr>
          <w:snapToGrid w:val="0"/>
        </w:rPr>
        <w:t xml:space="preserve"> hereof) nor, unless the </w:t>
      </w:r>
      <w:r w:rsidRPr="009A09FD" w:rsidR="00514392">
        <w:rPr>
          <w:snapToGrid w:val="0"/>
        </w:rPr>
        <w:t>Overall Coordinators</w:t>
      </w:r>
      <w:r w:rsidRPr="009A09FD" w:rsidR="00514392">
        <w:rPr>
          <w:rFonts w:hint="eastAsia"/>
          <w:snapToGrid w:val="0"/>
        </w:rPr>
        <w:t xml:space="preserve"> </w:t>
      </w:r>
      <w:r w:rsidRPr="009A09FD" w:rsidR="006A62F4">
        <w:rPr>
          <w:snapToGrid w:val="0"/>
        </w:rPr>
        <w:t xml:space="preserve">and the Company otherwise agree in writing, earlier than the second, or later than the tenth, business day after the date on which the Over-allotment Option shall have been exercised.  Upon any exercise of the Over-allotment Option, the number of Over-allotment Option Shares to be purchased by each International Underwriter </w:t>
      </w:r>
      <w:r w:rsidRPr="009A09FD" w:rsidR="002532EE">
        <w:rPr>
          <w:snapToGrid w:val="0"/>
        </w:rPr>
        <w:t xml:space="preserve">and its Affiliates </w:t>
      </w:r>
      <w:r w:rsidRPr="009A09FD" w:rsidR="006A62F4">
        <w:rPr>
          <w:snapToGrid w:val="0"/>
        </w:rPr>
        <w:t xml:space="preserve">shall be the number (subject to such adjustment as the </w:t>
      </w:r>
      <w:r w:rsidRPr="009A09FD" w:rsidR="00594EF2">
        <w:rPr>
          <w:snapToGrid w:val="0"/>
        </w:rPr>
        <w:t>Overall Coordinators</w:t>
      </w:r>
      <w:r w:rsidRPr="009A09FD" w:rsidR="00594EF2">
        <w:rPr>
          <w:rFonts w:hint="eastAsia"/>
          <w:snapToGrid w:val="0"/>
        </w:rPr>
        <w:t xml:space="preserve"> </w:t>
      </w:r>
      <w:r w:rsidRPr="009A09FD" w:rsidR="006A62F4">
        <w:rPr>
          <w:snapToGrid w:val="0"/>
        </w:rPr>
        <w:t>may determine to avoid fractional shares</w:t>
      </w:r>
      <w:r w:rsidRPr="009A09FD" w:rsidR="006A62F4">
        <w:rPr>
          <w:rFonts w:hint="eastAsia"/>
          <w:snapToGrid w:val="0"/>
        </w:rPr>
        <w:t xml:space="preserve"> or otherwise ensure the </w:t>
      </w:r>
      <w:r w:rsidRPr="009A09FD" w:rsidR="006A62F4">
        <w:rPr>
          <w:snapToGrid w:val="0"/>
        </w:rPr>
        <w:t>administration</w:t>
      </w:r>
      <w:r w:rsidRPr="009A09FD" w:rsidR="006A62F4">
        <w:rPr>
          <w:rFonts w:hint="eastAsia"/>
          <w:snapToGrid w:val="0"/>
        </w:rPr>
        <w:t xml:space="preserve"> of the delivery</w:t>
      </w:r>
      <w:r w:rsidRPr="009A09FD" w:rsidR="006A62F4">
        <w:rPr>
          <w:snapToGrid w:val="0"/>
        </w:rPr>
        <w:t xml:space="preserve">) which bears the same proportion to the total number of Over-allotment Option Shares being purchased by the several International Underwriters </w:t>
      </w:r>
      <w:r w:rsidRPr="009A09FD" w:rsidR="008868F2">
        <w:rPr>
          <w:snapToGrid w:val="0"/>
        </w:rPr>
        <w:t xml:space="preserve">and their respective Affiliates </w:t>
      </w:r>
      <w:r w:rsidRPr="009A09FD" w:rsidR="006A62F4">
        <w:rPr>
          <w:snapToGrid w:val="0"/>
        </w:rPr>
        <w:t>pursuant to such exercise as the number of Firm Shares set forth opposite the name of such International Underwriter in</w:t>
      </w:r>
      <w:r w:rsidRPr="009A09FD" w:rsidR="00FD48BB">
        <w:rPr>
          <w:snapToGrid w:val="0"/>
        </w:rPr>
        <w:t xml:space="preserve"> Part A of</w:t>
      </w:r>
      <w:r w:rsidRPr="009A09FD" w:rsidR="006A62F4">
        <w:rPr>
          <w:snapToGrid w:val="0"/>
        </w:rPr>
        <w:t xml:space="preserve"> </w:t>
      </w:r>
      <w:r w:rsidRPr="009A09FD" w:rsidR="00604886">
        <w:rPr>
          <w:snapToGrid w:val="0"/>
        </w:rPr>
        <w:fldChar w:fldCharType="begin"/>
      </w:r>
      <w:r w:rsidRPr="009A09FD" w:rsidR="00604886">
        <w:rPr>
          <w:snapToGrid w:val="0"/>
        </w:rPr>
        <w:instrText xml:space="preserve"> REF _Ref155101112 \r \h </w:instrText>
      </w:r>
      <w:r w:rsidR="009A09FD">
        <w:rPr>
          <w:snapToGrid w:val="0"/>
        </w:rPr>
        <w:instrText xml:space="preserve"> \* MERGEFORMAT </w:instrText>
      </w:r>
      <w:r w:rsidRPr="009A09FD" w:rsidR="00604886">
        <w:rPr>
          <w:snapToGrid w:val="0"/>
        </w:rPr>
        <w:fldChar w:fldCharType="separate"/>
      </w:r>
      <w:r w:rsidRPr="009A09FD" w:rsidR="00ED2E07">
        <w:rPr>
          <w:snapToGrid w:val="0"/>
        </w:rPr>
        <w:t>Schedule I</w:t>
      </w:r>
      <w:r w:rsidRPr="009A09FD" w:rsidR="00604886">
        <w:rPr>
          <w:snapToGrid w:val="0"/>
        </w:rPr>
        <w:fldChar w:fldCharType="end"/>
      </w:r>
      <w:r w:rsidRPr="009A09FD" w:rsidR="006A62F4">
        <w:rPr>
          <w:snapToGrid w:val="0"/>
        </w:rPr>
        <w:t xml:space="preserve"> hereto bears to the total number of Firm Shares, subject to any reallocation of the Offer Shares between the International Offering and the Hong Kong Public Offering and subject to adjustment in accordance with Section </w:t>
      </w:r>
      <w:r w:rsidRPr="009A09FD" w:rsidR="006A62F4">
        <w:rPr>
          <w:snapToGrid w:val="0"/>
        </w:rPr>
        <w:fldChar w:fldCharType="begin"/>
      </w:r>
      <w:r w:rsidRPr="009A09FD" w:rsidR="006A62F4">
        <w:rPr>
          <w:snapToGrid w:val="0"/>
        </w:rPr>
        <w:instrText xml:space="preserve">  REF _Ref367265687 \r \h \* MERGEFORMAT </w:instrText>
      </w:r>
      <w:r w:rsidRPr="009A09FD" w:rsidR="006A62F4">
        <w:rPr>
          <w:snapToGrid w:val="0"/>
        </w:rPr>
        <w:fldChar w:fldCharType="separate"/>
      </w:r>
      <w:r w:rsidRPr="009A09FD" w:rsidR="00ED2E07">
        <w:rPr>
          <w:snapToGrid w:val="0"/>
        </w:rPr>
        <w:t>10</w:t>
      </w:r>
      <w:r w:rsidRPr="009A09FD" w:rsidR="006A62F4">
        <w:rPr>
          <w:snapToGrid w:val="0"/>
        </w:rPr>
        <w:fldChar w:fldCharType="end"/>
      </w:r>
      <w:r w:rsidRPr="009A09FD" w:rsidR="006A62F4">
        <w:rPr>
          <w:snapToGrid w:val="0"/>
        </w:rPr>
        <w:t xml:space="preserve"> hereof.</w:t>
      </w:r>
    </w:p>
    <w:p w:rsidR="001C5107" w:rsidRPr="009A09FD" w:rsidP="003C6CDA" w14:paraId="71EA3B27" w14:textId="6925FD54">
      <w:pPr>
        <w:pStyle w:val="BodyText2"/>
        <w:rPr>
          <w:snapToGrid w:val="0"/>
        </w:rPr>
      </w:pPr>
      <w:r w:rsidRPr="009A09FD">
        <w:rPr>
          <w:snapToGrid w:val="0"/>
        </w:rPr>
        <w:t xml:space="preserve">The </w:t>
      </w:r>
      <w:r w:rsidRPr="009A09FD" w:rsidR="002E39B3">
        <w:rPr>
          <w:snapToGrid w:val="0"/>
        </w:rPr>
        <w:t>Overall Coordinators</w:t>
      </w:r>
      <w:r w:rsidRPr="009A09FD">
        <w:rPr>
          <w:snapToGrid w:val="0"/>
        </w:rPr>
        <w:t>, on behalf of the Joint Global Coordinators, the Joint Bookrunners, the Joint Lead Managers</w:t>
      </w:r>
      <w:r w:rsidRPr="009A09FD" w:rsidR="00514A60">
        <w:rPr>
          <w:snapToGrid w:val="0"/>
        </w:rPr>
        <w:t>, the CMIs</w:t>
      </w:r>
      <w:r w:rsidRPr="009A09FD">
        <w:rPr>
          <w:snapToGrid w:val="0"/>
        </w:rPr>
        <w:t xml:space="preserve"> and the International Underwriters, shall determine the manner and basis of allocation of the International Offer Shares. Upon the authorization by the </w:t>
      </w:r>
      <w:r w:rsidRPr="009A09FD" w:rsidR="00DF79E3">
        <w:rPr>
          <w:snapToGrid w:val="0"/>
        </w:rPr>
        <w:t xml:space="preserve">Overall Coordinators </w:t>
      </w:r>
      <w:r w:rsidRPr="009A09FD">
        <w:rPr>
          <w:snapToGrid w:val="0"/>
        </w:rPr>
        <w:t>of the release of the Firm Shares, the several International Underwriters propose to offer the Firm Shares for sale</w:t>
      </w:r>
      <w:r w:rsidRPr="009A09FD" w:rsidR="009A7089">
        <w:rPr>
          <w:snapToGrid w:val="0"/>
        </w:rPr>
        <w:t xml:space="preserve"> themselves or through their respective affiliates</w:t>
      </w:r>
      <w:r w:rsidRPr="009A09FD">
        <w:rPr>
          <w:snapToGrid w:val="0"/>
        </w:rPr>
        <w:t>.  The Company acknowledge</w:t>
      </w:r>
      <w:r w:rsidRPr="009A09FD">
        <w:rPr>
          <w:rFonts w:hint="eastAsia"/>
          <w:snapToGrid w:val="0"/>
        </w:rPr>
        <w:t>s</w:t>
      </w:r>
      <w:r w:rsidRPr="009A09FD">
        <w:rPr>
          <w:snapToGrid w:val="0"/>
        </w:rPr>
        <w:t xml:space="preserve"> and agree</w:t>
      </w:r>
      <w:r w:rsidRPr="009A09FD">
        <w:rPr>
          <w:rFonts w:hint="eastAsia"/>
          <w:snapToGrid w:val="0"/>
        </w:rPr>
        <w:t>s</w:t>
      </w:r>
      <w:r w:rsidRPr="009A09FD">
        <w:rPr>
          <w:snapToGrid w:val="0"/>
        </w:rPr>
        <w:t xml:space="preserve"> that, in the sole and absolute discretion of each International Underwriter, the sale of the International Offer Shares by such International Underwriter</w:t>
      </w:r>
      <w:r w:rsidRPr="009A09FD" w:rsidR="009A7089">
        <w:rPr>
          <w:snapToGrid w:val="0"/>
        </w:rPr>
        <w:t xml:space="preserve"> itself or through its affiliates</w:t>
      </w:r>
      <w:r w:rsidRPr="009A09FD">
        <w:rPr>
          <w:snapToGrid w:val="0"/>
        </w:rPr>
        <w:t xml:space="preserve"> shall be made by it as agent of the Company under applicable Laws to procure purchasers for the International Offer Shares (in which case the purchase obligation of such International Underwriter under this subsection </w:t>
      </w:r>
      <w:r w:rsidRPr="009A09FD">
        <w:rPr>
          <w:snapToGrid w:val="0"/>
        </w:rPr>
        <w:fldChar w:fldCharType="begin"/>
      </w:r>
      <w:r w:rsidRPr="009A09FD">
        <w:rPr>
          <w:snapToGrid w:val="0"/>
        </w:rPr>
        <w:instrText xml:space="preserve"> REF _Ref367266277 \r \h  \* MERGEFORMAT </w:instrText>
      </w:r>
      <w:r w:rsidRPr="009A09FD">
        <w:rPr>
          <w:snapToGrid w:val="0"/>
        </w:rPr>
        <w:fldChar w:fldCharType="separate"/>
      </w:r>
      <w:r w:rsidRPr="009A09FD" w:rsidR="00ED2E07">
        <w:rPr>
          <w:snapToGrid w:val="0"/>
        </w:rPr>
        <w:t>(a)</w:t>
      </w:r>
      <w:r w:rsidRPr="009A09FD">
        <w:rPr>
          <w:snapToGrid w:val="0"/>
        </w:rPr>
        <w:fldChar w:fldCharType="end"/>
      </w:r>
      <w:r w:rsidRPr="009A09FD">
        <w:rPr>
          <w:snapToGrid w:val="0"/>
        </w:rPr>
        <w:t xml:space="preserve"> shall be reduced </w:t>
      </w:r>
      <w:r w:rsidRPr="009A09FD">
        <w:rPr>
          <w:b/>
          <w:i/>
          <w:snapToGrid w:val="0"/>
        </w:rPr>
        <w:t>pro tanto</w:t>
      </w:r>
      <w:r w:rsidRPr="009A09FD">
        <w:rPr>
          <w:snapToGrid w:val="0"/>
        </w:rPr>
        <w:t>)</w:t>
      </w:r>
      <w:r w:rsidRPr="009A09FD">
        <w:rPr>
          <w:b/>
          <w:i/>
          <w:snapToGrid w:val="0"/>
        </w:rPr>
        <w:t xml:space="preserve"> </w:t>
      </w:r>
      <w:r w:rsidRPr="009A09FD">
        <w:rPr>
          <w:snapToGrid w:val="0"/>
        </w:rPr>
        <w:t>or, failing which, as principal to purchase itself or through its Affiliates the International Offer Shares, and, accordingly, the Company appoint</w:t>
      </w:r>
      <w:r w:rsidRPr="009A09FD">
        <w:rPr>
          <w:rFonts w:hint="eastAsia"/>
          <w:snapToGrid w:val="0"/>
        </w:rPr>
        <w:t>s</w:t>
      </w:r>
      <w:r w:rsidRPr="009A09FD">
        <w:rPr>
          <w:snapToGrid w:val="0"/>
        </w:rPr>
        <w:t xml:space="preserve"> each International Underwriter</w:t>
      </w:r>
      <w:r w:rsidRPr="009A09FD">
        <w:rPr>
          <w:rFonts w:hint="eastAsia"/>
          <w:snapToGrid w:val="0"/>
        </w:rPr>
        <w:t xml:space="preserve"> together with its Affiliates</w:t>
      </w:r>
      <w:r w:rsidRPr="009A09FD">
        <w:rPr>
          <w:snapToGrid w:val="0"/>
        </w:rPr>
        <w:t xml:space="preserve"> as agents under applicable Laws and confers on them the powers, authority and discretion on behalf of the Company that are necessary solely to procure purchasers for the International Offer Shares upon the basis of the representations and warranties and subject to the terms and conditions herein set forth; </w:t>
      </w:r>
      <w:r w:rsidRPr="009A09FD">
        <w:rPr>
          <w:b/>
          <w:snapToGrid w:val="0"/>
        </w:rPr>
        <w:t>provided, however, that</w:t>
      </w:r>
      <w:r w:rsidRPr="009A09FD">
        <w:rPr>
          <w:snapToGrid w:val="0"/>
        </w:rPr>
        <w:t xml:space="preserve"> any International Underwriter </w:t>
      </w:r>
      <w:r w:rsidRPr="009A09FD" w:rsidR="00BF0A74">
        <w:rPr>
          <w:snapToGrid w:val="0"/>
        </w:rPr>
        <w:t xml:space="preserve">or its Affiliates </w:t>
      </w:r>
      <w:r w:rsidRPr="009A09FD">
        <w:rPr>
          <w:snapToGrid w:val="0"/>
        </w:rPr>
        <w:t xml:space="preserve">selling International Offer Shares as agent of the Company pursuant to this subsection </w:t>
      </w:r>
      <w:r w:rsidRPr="009A09FD">
        <w:rPr>
          <w:snapToGrid w:val="0"/>
        </w:rPr>
        <w:fldChar w:fldCharType="begin"/>
      </w:r>
      <w:r w:rsidRPr="009A09FD">
        <w:rPr>
          <w:snapToGrid w:val="0"/>
        </w:rPr>
        <w:instrText xml:space="preserve"> REF _Ref367266277 \r \h  \* MERGEFORMAT </w:instrText>
      </w:r>
      <w:r w:rsidRPr="009A09FD">
        <w:rPr>
          <w:snapToGrid w:val="0"/>
        </w:rPr>
        <w:fldChar w:fldCharType="separate"/>
      </w:r>
      <w:r w:rsidRPr="009A09FD" w:rsidR="00ED2E07">
        <w:rPr>
          <w:snapToGrid w:val="0"/>
        </w:rPr>
        <w:t>(a)</w:t>
      </w:r>
      <w:r w:rsidRPr="009A09FD">
        <w:rPr>
          <w:snapToGrid w:val="0"/>
        </w:rPr>
        <w:fldChar w:fldCharType="end"/>
      </w:r>
      <w:r w:rsidRPr="009A09FD">
        <w:rPr>
          <w:snapToGrid w:val="0"/>
        </w:rPr>
        <w:t xml:space="preserve"> and under applicable Laws will remain obligated to pay to the Company the Offer Price for such International Offer Shares as if such International Underwriters were purchasing such International Offer Shares as principal.  In view of the foregoing, a purchase of International Offer Shares may include a subscription for International Offer Shares of the Company and a sale of International Offer Shares may include an allotment of International Offer Shares by the Company.</w:t>
      </w:r>
    </w:p>
    <w:p w:rsidR="001C5107" w:rsidRPr="009A09FD" w:rsidP="00A469A2" w14:paraId="41EC4067" w14:textId="4D3E7BE1">
      <w:pPr>
        <w:pStyle w:val="Heading3"/>
        <w:rPr>
          <w:snapToGrid w:val="0"/>
        </w:rPr>
      </w:pPr>
      <w:bookmarkStart w:id="18" w:name="_Ref367265569"/>
      <w:r w:rsidRPr="009A09FD">
        <w:rPr>
          <w:snapToGrid w:val="0"/>
        </w:rPr>
        <w:t xml:space="preserve">The </w:t>
      </w:r>
      <w:r w:rsidRPr="009A09FD">
        <w:rPr>
          <w:rFonts w:hint="eastAsia"/>
          <w:snapToGrid w:val="0"/>
        </w:rPr>
        <w:t>Warrantors</w:t>
      </w:r>
      <w:r w:rsidRPr="009A09FD" w:rsidR="003E7E1A">
        <w:rPr>
          <w:snapToGrid w:val="0"/>
        </w:rPr>
        <w:t xml:space="preserve">, </w:t>
      </w:r>
      <w:r w:rsidRPr="009A09FD" w:rsidR="00D7546D">
        <w:rPr>
          <w:snapToGrid w:val="0"/>
        </w:rPr>
        <w:t xml:space="preserve">the </w:t>
      </w:r>
      <w:r w:rsidRPr="009A09FD" w:rsidR="00F929EF">
        <w:rPr>
          <w:snapToGrid w:val="0"/>
        </w:rPr>
        <w:t xml:space="preserve">Joint </w:t>
      </w:r>
      <w:r w:rsidRPr="009A09FD" w:rsidR="00D7546D">
        <w:rPr>
          <w:snapToGrid w:val="0"/>
        </w:rPr>
        <w:t>Sponsor</w:t>
      </w:r>
      <w:r w:rsidRPr="009A09FD" w:rsidR="00F929EF">
        <w:rPr>
          <w:snapToGrid w:val="0"/>
        </w:rPr>
        <w:t>s</w:t>
      </w:r>
      <w:r w:rsidRPr="009A09FD" w:rsidR="00D7546D">
        <w:rPr>
          <w:snapToGrid w:val="0"/>
        </w:rPr>
        <w:t xml:space="preserve">, </w:t>
      </w:r>
      <w:r w:rsidRPr="009A09FD">
        <w:rPr>
          <w:snapToGrid w:val="0"/>
        </w:rPr>
        <w:t xml:space="preserve">the </w:t>
      </w:r>
      <w:r w:rsidRPr="009A09FD" w:rsidR="00F929EF">
        <w:rPr>
          <w:snapToGrid w:val="0"/>
        </w:rPr>
        <w:t>Overall Coordinators</w:t>
      </w:r>
      <w:r w:rsidRPr="009A09FD" w:rsidR="00CF21C3">
        <w:rPr>
          <w:snapToGrid w:val="0"/>
        </w:rPr>
        <w:t xml:space="preserve">, the Joint Global Coordinators </w:t>
      </w:r>
      <w:r w:rsidRPr="009A09FD">
        <w:rPr>
          <w:snapToGrid w:val="0"/>
        </w:rPr>
        <w:t>and the International Underwriters agree that</w:t>
      </w:r>
      <w:bookmarkEnd w:id="18"/>
      <w:r w:rsidRPr="009A09FD">
        <w:rPr>
          <w:snapToGrid w:val="0"/>
        </w:rPr>
        <w:t>:</w:t>
      </w:r>
    </w:p>
    <w:p w:rsidR="001C5107" w:rsidRPr="009A09FD" w:rsidP="00A469A2" w14:paraId="1F6F855D" w14:textId="4A20B71C">
      <w:pPr>
        <w:pStyle w:val="Heading4"/>
        <w:rPr>
          <w:snapToGrid w:val="0"/>
        </w:rPr>
      </w:pPr>
      <w:bookmarkStart w:id="19" w:name="_Ref367265570"/>
      <w:r w:rsidRPr="009A09FD">
        <w:rPr>
          <w:snapToGrid w:val="0"/>
        </w:rPr>
        <w:t xml:space="preserve">under the </w:t>
      </w:r>
      <w:r w:rsidRPr="009A09FD" w:rsidR="009A7089">
        <w:rPr>
          <w:snapToGrid w:val="0"/>
        </w:rPr>
        <w:t>di</w:t>
      </w:r>
      <w:r w:rsidRPr="009A09FD" w:rsidR="00C774BC">
        <w:rPr>
          <w:snapToGrid w:val="0"/>
        </w:rPr>
        <w:t>rec</w:t>
      </w:r>
      <w:r w:rsidRPr="009A09FD" w:rsidR="009A7089">
        <w:rPr>
          <w:snapToGrid w:val="0"/>
        </w:rPr>
        <w:t>tion</w:t>
      </w:r>
      <w:r w:rsidRPr="009A09FD">
        <w:rPr>
          <w:snapToGrid w:val="0"/>
        </w:rPr>
        <w:t xml:space="preserve"> of the </w:t>
      </w:r>
      <w:r w:rsidRPr="009A09FD" w:rsidR="00064786">
        <w:rPr>
          <w:snapToGrid w:val="0"/>
        </w:rPr>
        <w:t>Overall Coordinators</w:t>
      </w:r>
      <w:r w:rsidRPr="009A09FD">
        <w:rPr>
          <w:snapToGrid w:val="0"/>
        </w:rPr>
        <w:t>,</w:t>
      </w:r>
      <w:bookmarkEnd w:id="19"/>
    </w:p>
    <w:p w:rsidR="001C5107" w:rsidRPr="009A09FD" w:rsidP="00A469A2" w14:paraId="145C0160" w14:textId="7E432C05">
      <w:pPr>
        <w:pStyle w:val="Heading5"/>
        <w:rPr>
          <w:snapToGrid w:val="0"/>
        </w:rPr>
      </w:pPr>
      <w:bookmarkStart w:id="20" w:name="_Ref367265571"/>
      <w:bookmarkStart w:id="21" w:name="_Ref367266419"/>
      <w:bookmarkEnd w:id="20"/>
      <w:r>
        <w:rPr>
          <w:snapToGrid w:val="0"/>
        </w:rPr>
        <w:t>[</w:t>
      </w:r>
      <w:r w:rsidRPr="009A09FD" w:rsidR="006A62F4">
        <w:rPr>
          <w:snapToGrid w:val="0"/>
        </w:rPr>
        <w:t xml:space="preserve">if the number of Hong Kong Offer Shares validly applied for under the Hong Kong Public Offering represents </w:t>
      </w:r>
      <w:r w:rsidR="008D2840">
        <w:rPr>
          <w:snapToGrid w:val="0"/>
        </w:rPr>
        <w:t>15</w:t>
      </w:r>
      <w:r w:rsidRPr="009A09FD" w:rsidR="008D2840">
        <w:rPr>
          <w:snapToGrid w:val="0"/>
        </w:rPr>
        <w:t xml:space="preserve"> </w:t>
      </w:r>
      <w:r w:rsidRPr="009A09FD" w:rsidR="006A62F4">
        <w:rPr>
          <w:snapToGrid w:val="0"/>
        </w:rPr>
        <w:t xml:space="preserve">times or more but less than </w:t>
      </w:r>
      <w:bookmarkStart w:id="22" w:name="DocXTextRef10"/>
      <w:r w:rsidRPr="009A09FD" w:rsidR="006A62F4">
        <w:rPr>
          <w:snapToGrid w:val="0"/>
        </w:rPr>
        <w:t>50</w:t>
      </w:r>
      <w:bookmarkEnd w:id="22"/>
      <w:r w:rsidRPr="009A09FD" w:rsidR="006A62F4">
        <w:rPr>
          <w:snapToGrid w:val="0"/>
        </w:rPr>
        <w:t xml:space="preserve"> times the number of Hong Kong Offer Shares initially available for subscription under the Hong Kong Public Offering, then a number of the Firm Shares will be reallocated to the Hong Kong Public Offering from the International Offering so that the total number of Hong Kong Offer Shares available under the Hong Kong Public Offering will represent </w:t>
      </w:r>
      <w:r w:rsidRPr="009A09FD" w:rsidR="0067311E">
        <w:rPr>
          <w:snapToGrid w:val="0"/>
        </w:rPr>
        <w:t xml:space="preserve">approximately </w:t>
      </w:r>
      <w:r>
        <w:rPr>
          <w:snapToGrid w:val="0"/>
        </w:rPr>
        <w:t>15</w:t>
      </w:r>
      <w:r w:rsidRPr="009A09FD" w:rsidR="006A62F4">
        <w:rPr>
          <w:snapToGrid w:val="0"/>
        </w:rPr>
        <w:t xml:space="preserve">% of the total number of Offer Shares </w:t>
      </w:r>
      <w:r w:rsidRPr="009A09FD" w:rsidR="001D708B">
        <w:rPr>
          <w:snapToGrid w:val="0"/>
        </w:rPr>
        <w:t xml:space="preserve">initially available under the Global Offering </w:t>
      </w:r>
      <w:r w:rsidRPr="009A09FD" w:rsidR="006A62F4">
        <w:rPr>
          <w:snapToGrid w:val="0"/>
        </w:rPr>
        <w:t>(excluding the Over-allotment Option Shares),</w:t>
      </w:r>
      <w:bookmarkEnd w:id="21"/>
    </w:p>
    <w:p w:rsidR="001C5107" w:rsidRPr="009A09FD" w:rsidP="00A469A2" w14:paraId="28AD8962" w14:textId="692A792B">
      <w:pPr>
        <w:pStyle w:val="Heading5"/>
        <w:rPr>
          <w:snapToGrid w:val="0"/>
        </w:rPr>
      </w:pPr>
      <w:bookmarkStart w:id="23" w:name="_Ref367265572"/>
      <w:r w:rsidRPr="009A09FD">
        <w:rPr>
          <w:snapToGrid w:val="0"/>
        </w:rPr>
        <w:t xml:space="preserve">if the number of Hong Kong Offer Shares validly applied for under the Hong Kong Public Offering represents </w:t>
      </w:r>
      <w:bookmarkStart w:id="24" w:name="DocXTextRef11"/>
      <w:r w:rsidRPr="009A09FD">
        <w:rPr>
          <w:snapToGrid w:val="0"/>
        </w:rPr>
        <w:t>50</w:t>
      </w:r>
      <w:bookmarkEnd w:id="24"/>
      <w:r w:rsidRPr="009A09FD">
        <w:rPr>
          <w:snapToGrid w:val="0"/>
        </w:rPr>
        <w:t xml:space="preserve"> times or more but less than </w:t>
      </w:r>
      <w:bookmarkStart w:id="25" w:name="DocXTextRef12"/>
      <w:r w:rsidRPr="009A09FD">
        <w:rPr>
          <w:snapToGrid w:val="0"/>
        </w:rPr>
        <w:t>100</w:t>
      </w:r>
      <w:bookmarkEnd w:id="25"/>
      <w:r w:rsidRPr="009A09FD">
        <w:rPr>
          <w:snapToGrid w:val="0"/>
        </w:rPr>
        <w:t xml:space="preserve"> times the number of Hong Kong Offer Shares initially available for subscription under the Hong Kong Public Offering, then a number of the Firm Shares will be reallocated to the Hong Kong Public Offering from the International Offering so that the total number of Hong Kong Offer Shares available under the Hong Kong Public Offering will represent </w:t>
      </w:r>
      <w:r w:rsidRPr="009A09FD" w:rsidR="0067311E">
        <w:rPr>
          <w:snapToGrid w:val="0"/>
        </w:rPr>
        <w:t>approximately</w:t>
      </w:r>
      <w:r w:rsidRPr="009A09FD" w:rsidR="0067311E">
        <w:rPr>
          <w:rFonts w:hint="eastAsia"/>
          <w:snapToGrid w:val="0"/>
        </w:rPr>
        <w:t xml:space="preserve"> </w:t>
      </w:r>
      <w:r w:rsidR="007C502B">
        <w:rPr>
          <w:snapToGrid w:val="0"/>
        </w:rPr>
        <w:t>25</w:t>
      </w:r>
      <w:r w:rsidRPr="009A09FD">
        <w:rPr>
          <w:snapToGrid w:val="0"/>
        </w:rPr>
        <w:t xml:space="preserve">% of the total number of Offer Shares </w:t>
      </w:r>
      <w:r w:rsidRPr="009A09FD" w:rsidR="007B41EA">
        <w:rPr>
          <w:snapToGrid w:val="0"/>
        </w:rPr>
        <w:t xml:space="preserve">initially available under the Global Offering </w:t>
      </w:r>
      <w:r w:rsidRPr="009A09FD">
        <w:rPr>
          <w:snapToGrid w:val="0"/>
        </w:rPr>
        <w:t>(excluding the Over-allotment Option Shares),</w:t>
      </w:r>
      <w:bookmarkEnd w:id="23"/>
    </w:p>
    <w:p w:rsidR="001C5107" w:rsidRPr="009A09FD" w:rsidP="00A469A2" w14:paraId="247C2F59" w14:textId="64CD0AF7">
      <w:pPr>
        <w:pStyle w:val="Heading5"/>
        <w:rPr>
          <w:snapToGrid w:val="0"/>
        </w:rPr>
      </w:pPr>
      <w:bookmarkStart w:id="26" w:name="_Ref367265573"/>
      <w:r w:rsidRPr="009A09FD">
        <w:rPr>
          <w:snapToGrid w:val="0"/>
        </w:rPr>
        <w:t xml:space="preserve">if the number of Hong Kong Offer Shares validly applied for under the Hong Kong Public Offering represents </w:t>
      </w:r>
      <w:bookmarkStart w:id="27" w:name="DocXTextRef13"/>
      <w:r w:rsidRPr="009A09FD">
        <w:rPr>
          <w:snapToGrid w:val="0"/>
        </w:rPr>
        <w:t>100</w:t>
      </w:r>
      <w:bookmarkEnd w:id="27"/>
      <w:r w:rsidRPr="009A09FD">
        <w:rPr>
          <w:snapToGrid w:val="0"/>
        </w:rPr>
        <w:t xml:space="preserve"> times or more the number of Hong Kong Offer Shares initially available for subscription under the Hong Kong Public Offering, then a number of the Firm Shares will be reallocated to the Hong Kong Public Offering from the International Offering so that the total number of Hong Kong Offer Shares available under the Hong Kong Public Offering will represent </w:t>
      </w:r>
      <w:r w:rsidRPr="009A09FD" w:rsidR="0067311E">
        <w:rPr>
          <w:snapToGrid w:val="0"/>
        </w:rPr>
        <w:t>approximately</w:t>
      </w:r>
      <w:r w:rsidRPr="009A09FD" w:rsidR="0067311E">
        <w:rPr>
          <w:rFonts w:hint="eastAsia"/>
          <w:snapToGrid w:val="0"/>
        </w:rPr>
        <w:t xml:space="preserve"> </w:t>
      </w:r>
      <w:r w:rsidR="007C502B">
        <w:rPr>
          <w:snapToGrid w:val="0"/>
        </w:rPr>
        <w:t>35</w:t>
      </w:r>
      <w:r w:rsidRPr="009A09FD">
        <w:rPr>
          <w:snapToGrid w:val="0"/>
        </w:rPr>
        <w:t xml:space="preserve">% of the total number of Offer Shares </w:t>
      </w:r>
      <w:r w:rsidRPr="009A09FD" w:rsidR="00086261">
        <w:rPr>
          <w:snapToGrid w:val="0"/>
        </w:rPr>
        <w:t xml:space="preserve">initially available under the Global Offering </w:t>
      </w:r>
      <w:r w:rsidRPr="009A09FD">
        <w:rPr>
          <w:snapToGrid w:val="0"/>
        </w:rPr>
        <w:t>(excluding the Over-allotment Option Shares), and</w:t>
      </w:r>
      <w:bookmarkEnd w:id="26"/>
    </w:p>
    <w:p w:rsidR="001C5107" w:rsidRPr="009A09FD" w:rsidP="00A469A2" w14:paraId="4B312C64" w14:textId="00F3243C">
      <w:pPr>
        <w:pStyle w:val="Heading5"/>
        <w:rPr>
          <w:snapToGrid w:val="0"/>
        </w:rPr>
      </w:pPr>
      <w:bookmarkStart w:id="28" w:name="_Ref367265574"/>
      <w:r w:rsidRPr="009A09FD">
        <w:rPr>
          <w:snapToGrid w:val="0"/>
        </w:rPr>
        <w:t xml:space="preserve">subject to the foregoing, the </w:t>
      </w:r>
      <w:r w:rsidRPr="009A09FD" w:rsidR="00E82EFC">
        <w:rPr>
          <w:snapToGrid w:val="0"/>
        </w:rPr>
        <w:t>Overall Coordinators</w:t>
      </w:r>
      <w:r w:rsidRPr="009A09FD">
        <w:rPr>
          <w:snapToGrid w:val="0"/>
        </w:rPr>
        <w:t>, in their sole and absolute discretion, may (but shall not be obliged to) reallocate all or any of the Firm Shares from the International Offering to the Hong Kong Public Offering to satisfy valid applications under the Hong Kong Public Offering;</w:t>
      </w:r>
      <w:bookmarkEnd w:id="28"/>
      <w:r w:rsidR="007C502B">
        <w:rPr>
          <w:snapToGrid w:val="0"/>
        </w:rPr>
        <w:t>]</w:t>
      </w:r>
      <w:r>
        <w:rPr>
          <w:rStyle w:val="FootnoteReference"/>
          <w:snapToGrid w:val="0"/>
        </w:rPr>
        <w:footnoteReference w:id="13"/>
      </w:r>
    </w:p>
    <w:p w:rsidR="001C5107" w:rsidRPr="009A09FD" w:rsidP="00A469A2" w14:paraId="3880E7F9" w14:textId="354DA517">
      <w:pPr>
        <w:pStyle w:val="BodyText3"/>
        <w:rPr>
          <w:snapToGrid w:val="0"/>
        </w:rPr>
      </w:pPr>
      <w:r w:rsidRPr="009A09FD">
        <w:rPr>
          <w:snapToGrid w:val="0"/>
        </w:rPr>
        <w:t xml:space="preserve">and, in each of the cases of reallocation of Firm Shares to the Hong Kong Public Offering described in subsections </w:t>
      </w:r>
      <w:r w:rsidRPr="009A09FD">
        <w:rPr>
          <w:snapToGrid w:val="0"/>
        </w:rPr>
        <w:fldChar w:fldCharType="begin"/>
      </w:r>
      <w:r w:rsidRPr="009A09FD">
        <w:rPr>
          <w:snapToGrid w:val="0"/>
        </w:rPr>
        <w:instrText xml:space="preserve"> REF _Ref367266419 \r \h  \* MERGEFORMAT </w:instrText>
      </w:r>
      <w:r w:rsidRPr="009A09FD">
        <w:rPr>
          <w:snapToGrid w:val="0"/>
        </w:rPr>
        <w:fldChar w:fldCharType="separate"/>
      </w:r>
      <w:r w:rsidRPr="009A09FD" w:rsidR="00ED2E07">
        <w:rPr>
          <w:snapToGrid w:val="0"/>
        </w:rPr>
        <w:t>(A)</w:t>
      </w:r>
      <w:r w:rsidRPr="009A09FD">
        <w:rPr>
          <w:snapToGrid w:val="0"/>
        </w:rPr>
        <w:fldChar w:fldCharType="end"/>
      </w:r>
      <w:r w:rsidRPr="009A09FD">
        <w:rPr>
          <w:snapToGrid w:val="0"/>
        </w:rPr>
        <w:t xml:space="preserve"> through </w:t>
      </w:r>
      <w:r w:rsidRPr="009A09FD">
        <w:rPr>
          <w:snapToGrid w:val="0"/>
        </w:rPr>
        <w:fldChar w:fldCharType="begin"/>
      </w:r>
      <w:r w:rsidRPr="009A09FD">
        <w:rPr>
          <w:snapToGrid w:val="0"/>
        </w:rPr>
        <w:instrText xml:space="preserve"> REF _Ref367265574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above (such reallocated Firm Shares being referred to herein as the “</w:t>
      </w:r>
      <w:r w:rsidRPr="009A09FD">
        <w:rPr>
          <w:b/>
          <w:snapToGrid w:val="0"/>
        </w:rPr>
        <w:t>Reallocated Shares</w:t>
      </w:r>
      <w:r w:rsidRPr="009A09FD">
        <w:rPr>
          <w:snapToGrid w:val="0"/>
        </w:rPr>
        <w:t xml:space="preserve">”), the number of Firm Shares available under the International Offering will be correspondingly reduced in such manner as the </w:t>
      </w:r>
      <w:r w:rsidRPr="009A09FD" w:rsidR="00EA49AB">
        <w:rPr>
          <w:snapToGrid w:val="0"/>
        </w:rPr>
        <w:t>Overall Coordinators</w:t>
      </w:r>
      <w:r w:rsidRPr="009A09FD">
        <w:rPr>
          <w:snapToGrid w:val="0"/>
        </w:rPr>
        <w:t xml:space="preserve"> deem appropriate; the Reallocated Shares will be delivered to investors in the Hong Kong Public Offering specified by the </w:t>
      </w:r>
      <w:r w:rsidRPr="009A09FD" w:rsidR="00237C00">
        <w:rPr>
          <w:snapToGrid w:val="0"/>
        </w:rPr>
        <w:t>Overall Coordinators</w:t>
      </w:r>
      <w:r w:rsidRPr="009A09FD">
        <w:rPr>
          <w:snapToGrid w:val="0"/>
        </w:rPr>
        <w:t xml:space="preserve"> in the same manner and at the same time as the Hong Kong Offer Shares originally included in the Hong Kong Public Offering; </w:t>
      </w:r>
      <w:r w:rsidRPr="009A09FD">
        <w:rPr>
          <w:b/>
          <w:snapToGrid w:val="0"/>
        </w:rPr>
        <w:t>provided, that</w:t>
      </w:r>
      <w:r w:rsidRPr="009A09FD">
        <w:rPr>
          <w:snapToGrid w:val="0"/>
        </w:rPr>
        <w:t xml:space="preserve"> the International Underwriters shall be entitled to receive an amount equal to the gross commission on the Reallocated Shares (which gross commission is to be calculated in accordance with subsection </w:t>
      </w:r>
      <w:r w:rsidRPr="009A09FD">
        <w:rPr>
          <w:snapToGrid w:val="0"/>
        </w:rPr>
        <w:fldChar w:fldCharType="begin"/>
      </w:r>
      <w:r w:rsidRPr="009A09FD">
        <w:rPr>
          <w:snapToGrid w:val="0"/>
        </w:rPr>
        <w:instrText xml:space="preserve"> REF _Ref367265576 \r \h  \* MERGEFORMAT </w:instrText>
      </w:r>
      <w:r w:rsidRPr="009A09FD">
        <w:rPr>
          <w:snapToGrid w:val="0"/>
        </w:rPr>
        <w:fldChar w:fldCharType="separate"/>
      </w:r>
      <w:r w:rsidRPr="009A09FD" w:rsidR="00ED2E07">
        <w:rPr>
          <w:snapToGrid w:val="0"/>
        </w:rPr>
        <w:t>(c)</w:t>
      </w:r>
      <w:r w:rsidRPr="009A09FD">
        <w:rPr>
          <w:snapToGrid w:val="0"/>
        </w:rPr>
        <w:fldChar w:fldCharType="end"/>
      </w:r>
      <w:r w:rsidRPr="009A09FD">
        <w:rPr>
          <w:snapToGrid w:val="0"/>
        </w:rPr>
        <w:t xml:space="preserve"> of this </w:t>
      </w:r>
      <w:bookmarkStart w:id="29" w:name="DocXTextRef14"/>
      <w:r w:rsidRPr="009A09FD">
        <w:rPr>
          <w:snapToGrid w:val="0"/>
        </w:rPr>
        <w:t xml:space="preserve">Section </w:t>
      </w:r>
      <w:bookmarkEnd w:id="29"/>
      <w:r w:rsidRPr="009A09FD">
        <w:rPr>
          <w:snapToGrid w:val="0"/>
        </w:rPr>
        <w:fldChar w:fldCharType="begin"/>
      </w:r>
      <w:r w:rsidRPr="009A09FD">
        <w:rPr>
          <w:snapToGrid w:val="0"/>
        </w:rPr>
        <w:instrText xml:space="preserve"> REF _Ref517407314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so that, expressed as a percentage, such commission shall be the same per Reallocated Share as per International Offer Share) out of the amounts payable to the Company hereunder.  For the avoidance of doubt</w:t>
      </w:r>
      <w:r w:rsidRPr="009A09FD">
        <w:rPr>
          <w:rFonts w:hint="eastAsia"/>
          <w:snapToGrid w:val="0"/>
        </w:rPr>
        <w:t xml:space="preserve"> and without prejudice to </w:t>
      </w:r>
      <w:r w:rsidRPr="009A09FD">
        <w:rPr>
          <w:snapToGrid w:val="0"/>
        </w:rPr>
        <w:t>the</w:t>
      </w:r>
      <w:r w:rsidRPr="009A09FD">
        <w:rPr>
          <w:rFonts w:hint="eastAsia"/>
          <w:snapToGrid w:val="0"/>
        </w:rPr>
        <w:t xml:space="preserve"> payment by the Company of the incentive fee referred to in </w:t>
      </w:r>
      <w:r w:rsidRPr="009A09FD">
        <w:rPr>
          <w:snapToGrid w:val="0"/>
        </w:rPr>
        <w:t xml:space="preserve">subsection </w:t>
      </w:r>
      <w:r w:rsidRPr="009A09FD">
        <w:rPr>
          <w:snapToGrid w:val="0"/>
        </w:rPr>
        <w:fldChar w:fldCharType="begin"/>
      </w:r>
      <w:r w:rsidRPr="009A09FD">
        <w:rPr>
          <w:snapToGrid w:val="0"/>
        </w:rPr>
        <w:instrText xml:space="preserve"> REF _Ref367265576 \r \h  \* MERGEFORMAT </w:instrText>
      </w:r>
      <w:r w:rsidRPr="009A09FD">
        <w:rPr>
          <w:snapToGrid w:val="0"/>
        </w:rPr>
        <w:fldChar w:fldCharType="separate"/>
      </w:r>
      <w:r w:rsidRPr="009A09FD" w:rsidR="00ED2E07">
        <w:rPr>
          <w:snapToGrid w:val="0"/>
        </w:rPr>
        <w:t>(c)</w:t>
      </w:r>
      <w:r w:rsidRPr="009A09FD">
        <w:rPr>
          <w:snapToGrid w:val="0"/>
        </w:rPr>
        <w:fldChar w:fldCharType="end"/>
      </w:r>
      <w:r w:rsidRPr="009A09FD">
        <w:rPr>
          <w:snapToGrid w:val="0"/>
        </w:rPr>
        <w:t xml:space="preserve"> of this Section</w:t>
      </w:r>
      <w:r w:rsidRPr="009A09FD">
        <w:rPr>
          <w:rFonts w:hint="eastAsia"/>
          <w:snapToGrid w:val="0"/>
        </w:rPr>
        <w:t xml:space="preserve"> </w:t>
      </w:r>
      <w:r w:rsidRPr="009A09FD">
        <w:rPr>
          <w:snapToGrid w:val="0"/>
        </w:rPr>
        <w:fldChar w:fldCharType="begin"/>
      </w:r>
      <w:r w:rsidRPr="009A09FD">
        <w:rPr>
          <w:snapToGrid w:val="0"/>
        </w:rPr>
        <w:instrText xml:space="preserve"> REF _Ref517407328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no underwriting commission shall be payable by the Company to the Hong Kong Underwriters on any of the Reallocated Shares; </w:t>
      </w:r>
      <w:r w:rsidRPr="009A09FD">
        <w:rPr>
          <w:b/>
          <w:snapToGrid w:val="0"/>
        </w:rPr>
        <w:t>provided, further, that</w:t>
      </w:r>
      <w:r w:rsidRPr="009A09FD">
        <w:rPr>
          <w:snapToGrid w:val="0"/>
        </w:rPr>
        <w:t xml:space="preserve"> the International Underwriters shall have no further payment or other obligations to the Company with respect to the Reallocated Shares, and</w:t>
      </w:r>
    </w:p>
    <w:p w:rsidR="001C5107" w:rsidRPr="009A09FD" w:rsidP="00A469A2" w14:paraId="445007A9" w14:textId="5CF2E929">
      <w:pPr>
        <w:pStyle w:val="Heading4"/>
        <w:rPr>
          <w:snapToGrid w:val="0"/>
        </w:rPr>
      </w:pPr>
      <w:bookmarkStart w:id="30" w:name="_Ref367265575"/>
      <w:r w:rsidRPr="009A09FD">
        <w:rPr>
          <w:snapToGrid w:val="0"/>
        </w:rPr>
        <w:t xml:space="preserve">the </w:t>
      </w:r>
      <w:r w:rsidRPr="009A09FD" w:rsidR="00602B6A">
        <w:rPr>
          <w:snapToGrid w:val="0"/>
        </w:rPr>
        <w:t xml:space="preserve">Overall Coordinators </w:t>
      </w:r>
      <w:r w:rsidRPr="009A09FD">
        <w:rPr>
          <w:snapToGrid w:val="0"/>
        </w:rPr>
        <w:t>in their sole and absolute discretion, may (but shall not be obliged to) reallocate all or some of the unsold Hong Kong Offer Shares in the event of an Under-Subscription (the “</w:t>
      </w:r>
      <w:r w:rsidRPr="009A09FD">
        <w:rPr>
          <w:b/>
          <w:snapToGrid w:val="0"/>
        </w:rPr>
        <w:t>Unsold Shares</w:t>
      </w:r>
      <w:r w:rsidRPr="009A09FD">
        <w:rPr>
          <w:snapToGrid w:val="0"/>
        </w:rPr>
        <w:t xml:space="preserve">”) to the International Offering to one or more of the International Underwriters in such amounts as the </w:t>
      </w:r>
      <w:r w:rsidRPr="009A09FD" w:rsidR="006265AA">
        <w:rPr>
          <w:snapToGrid w:val="0"/>
        </w:rPr>
        <w:t>Overall Coordinators</w:t>
      </w:r>
      <w:r w:rsidRPr="009A09FD">
        <w:rPr>
          <w:snapToGrid w:val="0"/>
        </w:rPr>
        <w:t xml:space="preserve"> and each such International Underwriter may agree, whereupon such International Underwriter shall become obligated to purchase, at the Offer Price, the number of Unsold Shares that are reallocated to such International Underwriter; </w:t>
      </w:r>
      <w:r w:rsidRPr="009A09FD">
        <w:rPr>
          <w:b/>
          <w:snapToGrid w:val="0"/>
        </w:rPr>
        <w:t>provided, that</w:t>
      </w:r>
      <w:r w:rsidRPr="009A09FD">
        <w:rPr>
          <w:snapToGrid w:val="0"/>
        </w:rPr>
        <w:t xml:space="preserve"> such International Underwriter shall be entitled to receive an amount equal to the gross commission on the number of Unsold Shares reallocated to it (which gross commission is to be calculated in accordance with subsection </w:t>
      </w:r>
      <w:r w:rsidRPr="009A09FD">
        <w:rPr>
          <w:snapToGrid w:val="0"/>
        </w:rPr>
        <w:fldChar w:fldCharType="begin"/>
      </w:r>
      <w:r w:rsidRPr="009A09FD">
        <w:rPr>
          <w:snapToGrid w:val="0"/>
        </w:rPr>
        <w:instrText xml:space="preserve"> REF _Ref367265576 \r \h  \* MERGEFORMAT </w:instrText>
      </w:r>
      <w:r w:rsidRPr="009A09FD">
        <w:rPr>
          <w:snapToGrid w:val="0"/>
        </w:rPr>
        <w:fldChar w:fldCharType="separate"/>
      </w:r>
      <w:r w:rsidRPr="009A09FD" w:rsidR="00ED2E07">
        <w:rPr>
          <w:snapToGrid w:val="0"/>
        </w:rPr>
        <w:t>(c)</w:t>
      </w:r>
      <w:r w:rsidRPr="009A09FD">
        <w:rPr>
          <w:snapToGrid w:val="0"/>
        </w:rPr>
        <w:fldChar w:fldCharType="end"/>
      </w:r>
      <w:r w:rsidRPr="009A09FD">
        <w:rPr>
          <w:snapToGrid w:val="0"/>
        </w:rPr>
        <w:t xml:space="preserve"> of this </w:t>
      </w:r>
      <w:bookmarkStart w:id="31" w:name="DocXTextRef15"/>
      <w:r w:rsidRPr="009A09FD">
        <w:rPr>
          <w:snapToGrid w:val="0"/>
        </w:rPr>
        <w:t xml:space="preserve">Section </w:t>
      </w:r>
      <w:bookmarkEnd w:id="31"/>
      <w:r w:rsidRPr="009A09FD">
        <w:rPr>
          <w:snapToGrid w:val="0"/>
        </w:rPr>
        <w:fldChar w:fldCharType="begin"/>
      </w:r>
      <w:r w:rsidRPr="009A09FD">
        <w:rPr>
          <w:snapToGrid w:val="0"/>
        </w:rPr>
        <w:instrText xml:space="preserve"> REF _Ref517407328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so that, expressed as a percentage, such commission shall be the same per such reallocated Unsold Share as per International Offer Share) out of the amounts payable to the Company hereunder and, for the avoidance of doubt</w:t>
      </w:r>
      <w:r w:rsidRPr="009A09FD">
        <w:rPr>
          <w:rFonts w:hint="eastAsia"/>
          <w:snapToGrid w:val="0"/>
        </w:rPr>
        <w:t xml:space="preserve"> and without prejudice to </w:t>
      </w:r>
      <w:r w:rsidRPr="009A09FD">
        <w:rPr>
          <w:snapToGrid w:val="0"/>
        </w:rPr>
        <w:t>the</w:t>
      </w:r>
      <w:r w:rsidRPr="009A09FD">
        <w:rPr>
          <w:rFonts w:hint="eastAsia"/>
          <w:snapToGrid w:val="0"/>
        </w:rPr>
        <w:t xml:space="preserve"> payment by the Company of the incentive fee referred to in </w:t>
      </w:r>
      <w:r w:rsidRPr="009A09FD">
        <w:rPr>
          <w:snapToGrid w:val="0"/>
        </w:rPr>
        <w:t xml:space="preserve">subsection </w:t>
      </w:r>
      <w:r w:rsidRPr="009A09FD">
        <w:rPr>
          <w:snapToGrid w:val="0"/>
        </w:rPr>
        <w:fldChar w:fldCharType="begin"/>
      </w:r>
      <w:r w:rsidRPr="009A09FD">
        <w:rPr>
          <w:snapToGrid w:val="0"/>
        </w:rPr>
        <w:instrText xml:space="preserve"> REF _Ref367265576 \r \h  \* MERGEFORMAT </w:instrText>
      </w:r>
      <w:r w:rsidRPr="009A09FD">
        <w:rPr>
          <w:snapToGrid w:val="0"/>
        </w:rPr>
        <w:fldChar w:fldCharType="separate"/>
      </w:r>
      <w:r w:rsidRPr="009A09FD" w:rsidR="00ED2E07">
        <w:rPr>
          <w:snapToGrid w:val="0"/>
        </w:rPr>
        <w:t>(c)</w:t>
      </w:r>
      <w:r w:rsidRPr="009A09FD">
        <w:rPr>
          <w:snapToGrid w:val="0"/>
        </w:rPr>
        <w:fldChar w:fldCharType="end"/>
      </w:r>
      <w:r w:rsidRPr="009A09FD">
        <w:rPr>
          <w:snapToGrid w:val="0"/>
        </w:rPr>
        <w:t xml:space="preserve"> of this Section</w:t>
      </w:r>
      <w:r w:rsidRPr="009A09FD">
        <w:rPr>
          <w:rFonts w:hint="eastAsia"/>
          <w:snapToGrid w:val="0"/>
        </w:rPr>
        <w:t xml:space="preserve"> </w:t>
      </w:r>
      <w:r w:rsidRPr="009A09FD">
        <w:rPr>
          <w:snapToGrid w:val="0"/>
        </w:rPr>
        <w:fldChar w:fldCharType="begin"/>
      </w:r>
      <w:r w:rsidRPr="009A09FD">
        <w:rPr>
          <w:snapToGrid w:val="0"/>
        </w:rPr>
        <w:instrText xml:space="preserve"> REF _Ref517407328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no underwriting commission shall be payable by the Company to the Hong Kong Underwriters on any of the Unsold Shares reallocated to the International Offering.</w:t>
      </w:r>
      <w:bookmarkEnd w:id="30"/>
    </w:p>
    <w:p w:rsidR="00FD0810" w:rsidRPr="009A09FD" w:rsidP="00A469A2" w14:paraId="1034AF97" w14:textId="5A7541D1">
      <w:pPr>
        <w:pStyle w:val="Heading3"/>
        <w:rPr>
          <w:snapToGrid w:val="0"/>
        </w:rPr>
      </w:pPr>
      <w:bookmarkStart w:id="32" w:name="_Ref367265576"/>
      <w:r w:rsidRPr="009A09FD">
        <w:rPr>
          <w:snapToGrid w:val="0"/>
        </w:rPr>
        <w:t>[</w:t>
      </w:r>
      <w:r w:rsidRPr="009A09FD" w:rsidR="00855705">
        <w:rPr>
          <w:snapToGrid w:val="0"/>
        </w:rPr>
        <w:t xml:space="preserve">In consideration of the agreement of the International Underwriters to purchase or procure purchasers for the International Offer Shares, the Company shall pay to the International Underwriters a gross commission equal to </w:t>
      </w:r>
      <w:r w:rsidRPr="009A09FD" w:rsidR="000F1008">
        <w:rPr>
          <w:b/>
          <w:bCs/>
          <w:snapToGrid w:val="0"/>
        </w:rPr>
        <w:t>[Insert commission percentage]</w:t>
      </w:r>
      <w:r w:rsidRPr="009A09FD" w:rsidR="00855705">
        <w:rPr>
          <w:snapToGrid w:val="0"/>
        </w:rPr>
        <w:t>% of the Offer Price for each International Offer Share (including each Unsold Share reallocated to the International Offering, each Reallocated Share reallocated to the Hong Kong Public Offering and each Over-allotment Option Share).</w:t>
      </w:r>
      <w:r w:rsidRPr="009A09FD" w:rsidR="00855705">
        <w:rPr>
          <w:rFonts w:hint="eastAsia"/>
          <w:snapToGrid w:val="0"/>
        </w:rPr>
        <w:t xml:space="preserve"> </w:t>
      </w:r>
      <w:r w:rsidRPr="009A09FD" w:rsidR="00855705">
        <w:rPr>
          <w:snapToGrid w:val="0"/>
        </w:rPr>
        <w:t>The gross commission shall be allocated among the International Underwriters in the same proportions to the number of Firm Shares set forth opposite the names of the International Underwriters as set in</w:t>
      </w:r>
      <w:r w:rsidRPr="009A09FD" w:rsidR="00262D26">
        <w:rPr>
          <w:snapToGrid w:val="0"/>
        </w:rPr>
        <w:t xml:space="preserve"> </w:t>
      </w:r>
      <w:r w:rsidRPr="009A09FD" w:rsidR="00D52C71">
        <w:rPr>
          <w:snapToGrid w:val="0"/>
        </w:rPr>
        <w:fldChar w:fldCharType="begin"/>
      </w:r>
      <w:r w:rsidRPr="009A09FD" w:rsidR="00D52C71">
        <w:rPr>
          <w:snapToGrid w:val="0"/>
        </w:rPr>
        <w:instrText xml:space="preserve"> REF _Ref155101331 \n \h </w:instrText>
      </w:r>
      <w:r w:rsidRPr="009A09FD" w:rsidR="00B41F83">
        <w:rPr>
          <w:snapToGrid w:val="0"/>
        </w:rPr>
        <w:instrText xml:space="preserve"> \* MERGEFORMAT </w:instrText>
      </w:r>
      <w:r w:rsidRPr="009A09FD" w:rsidR="00D52C71">
        <w:rPr>
          <w:snapToGrid w:val="0"/>
        </w:rPr>
        <w:fldChar w:fldCharType="separate"/>
      </w:r>
      <w:r w:rsidRPr="009A09FD" w:rsidR="00ED2E07">
        <w:rPr>
          <w:snapToGrid w:val="0"/>
        </w:rPr>
        <w:t>Part A</w:t>
      </w:r>
      <w:r w:rsidRPr="009A09FD" w:rsidR="00D52C71">
        <w:rPr>
          <w:snapToGrid w:val="0"/>
        </w:rPr>
        <w:fldChar w:fldCharType="end"/>
      </w:r>
      <w:r w:rsidRPr="009A09FD" w:rsidR="00D52C71">
        <w:rPr>
          <w:snapToGrid w:val="0"/>
        </w:rPr>
        <w:t xml:space="preserve"> </w:t>
      </w:r>
      <w:r w:rsidRPr="009A09FD" w:rsidR="00262D26">
        <w:rPr>
          <w:snapToGrid w:val="0"/>
        </w:rPr>
        <w:t>of</w:t>
      </w:r>
      <w:r w:rsidRPr="009A09FD" w:rsidR="00855705">
        <w:rPr>
          <w:snapToGrid w:val="0"/>
        </w:rPr>
        <w:t xml:space="preserve"> </w:t>
      </w:r>
      <w:r w:rsidRPr="009A09FD" w:rsidR="00604886">
        <w:rPr>
          <w:snapToGrid w:val="0"/>
        </w:rPr>
        <w:fldChar w:fldCharType="begin"/>
      </w:r>
      <w:r w:rsidRPr="009A09FD" w:rsidR="00604886">
        <w:rPr>
          <w:snapToGrid w:val="0"/>
        </w:rPr>
        <w:instrText xml:space="preserve"> REF _Ref155101112 \r \h </w:instrText>
      </w:r>
      <w:r w:rsidRPr="009A09FD" w:rsidR="00B41F83">
        <w:rPr>
          <w:snapToGrid w:val="0"/>
        </w:rPr>
        <w:instrText xml:space="preserve"> \* MERGEFORMAT </w:instrText>
      </w:r>
      <w:r w:rsidRPr="009A09FD" w:rsidR="00604886">
        <w:rPr>
          <w:snapToGrid w:val="0"/>
        </w:rPr>
        <w:fldChar w:fldCharType="separate"/>
      </w:r>
      <w:r w:rsidRPr="009A09FD" w:rsidR="00ED2E07">
        <w:rPr>
          <w:snapToGrid w:val="0"/>
        </w:rPr>
        <w:t>Schedule I</w:t>
      </w:r>
      <w:r w:rsidRPr="009A09FD" w:rsidR="00604886">
        <w:rPr>
          <w:snapToGrid w:val="0"/>
        </w:rPr>
        <w:fldChar w:fldCharType="end"/>
      </w:r>
      <w:r w:rsidRPr="009A09FD" w:rsidR="00855705">
        <w:rPr>
          <w:snapToGrid w:val="0"/>
        </w:rPr>
        <w:t xml:space="preserve"> hereto</w:t>
      </w:r>
      <w:r w:rsidRPr="009A09FD" w:rsidR="00855705">
        <w:rPr>
          <w:rFonts w:hint="eastAsia"/>
          <w:snapToGrid w:val="0"/>
        </w:rPr>
        <w:t>.</w:t>
      </w:r>
      <w:r w:rsidRPr="009A09FD" w:rsidR="00855705">
        <w:rPr>
          <w:snapToGrid w:val="0"/>
        </w:rPr>
        <w:t xml:space="preserve"> </w:t>
      </w:r>
      <w:r w:rsidRPr="009A09FD" w:rsidR="00996DA3">
        <w:rPr>
          <w:snapToGrid w:val="0"/>
        </w:rPr>
        <w:t>[</w:t>
      </w:r>
      <w:r w:rsidRPr="009A09FD" w:rsidR="00855705">
        <w:rPr>
          <w:snapToGrid w:val="0"/>
        </w:rPr>
        <w:t>In addition, the Company agrees at its sole discretion to pay a</w:t>
      </w:r>
      <w:r w:rsidRPr="009A09FD" w:rsidR="00996DA3">
        <w:rPr>
          <w:snapToGrid w:val="0"/>
        </w:rPr>
        <w:t>n</w:t>
      </w:r>
      <w:r w:rsidRPr="009A09FD" w:rsidR="00855705">
        <w:rPr>
          <w:snapToGrid w:val="0"/>
        </w:rPr>
        <w:t xml:space="preserve"> incentive fee which</w:t>
      </w:r>
      <w:r w:rsidRPr="009A09FD" w:rsidR="007D574B">
        <w:rPr>
          <w:snapToGrid w:val="0"/>
        </w:rPr>
        <w:t xml:space="preserve"> is</w:t>
      </w:r>
      <w:r w:rsidRPr="009A09FD" w:rsidR="00855705">
        <w:rPr>
          <w:rFonts w:hint="eastAsia"/>
          <w:snapToGrid w:val="0"/>
        </w:rPr>
        <w:t xml:space="preserve"> </w:t>
      </w:r>
      <w:r w:rsidRPr="009A09FD" w:rsidR="000F1008">
        <w:rPr>
          <w:b/>
          <w:bCs/>
          <w:snapToGrid w:val="0"/>
        </w:rPr>
        <w:t>[Insert incentive fee percentage]</w:t>
      </w:r>
      <w:r w:rsidRPr="009A09FD" w:rsidR="007D574B">
        <w:rPr>
          <w:snapToGrid w:val="0"/>
        </w:rPr>
        <w:t xml:space="preserve">% </w:t>
      </w:r>
      <w:r w:rsidRPr="009A09FD" w:rsidR="001430DF">
        <w:rPr>
          <w:snapToGrid w:val="0"/>
        </w:rPr>
        <w:t xml:space="preserve">of </w:t>
      </w:r>
      <w:r w:rsidRPr="009A09FD" w:rsidR="00855705">
        <w:rPr>
          <w:snapToGrid w:val="0"/>
        </w:rPr>
        <w:t>the Offer Price</w:t>
      </w:r>
      <w:r w:rsidRPr="009A09FD" w:rsidR="00BF2997">
        <w:rPr>
          <w:snapToGrid w:val="0"/>
        </w:rPr>
        <w:t xml:space="preserve"> </w:t>
      </w:r>
      <w:r w:rsidRPr="009A09FD" w:rsidR="001430DF">
        <w:rPr>
          <w:snapToGrid w:val="0"/>
        </w:rPr>
        <w:t xml:space="preserve">for </w:t>
      </w:r>
      <w:r w:rsidRPr="009A09FD" w:rsidR="00D2020A">
        <w:rPr>
          <w:snapToGrid w:val="0"/>
        </w:rPr>
        <w:t>each International Offer Share</w:t>
      </w:r>
      <w:r w:rsidRPr="009A09FD" w:rsidR="00FC42AD">
        <w:rPr>
          <w:snapToGrid w:val="0"/>
        </w:rPr>
        <w:t xml:space="preserve">, the allocation of which would be determined at the Company’s sole </w:t>
      </w:r>
      <w:r w:rsidRPr="009A09FD" w:rsidR="00375B47">
        <w:rPr>
          <w:snapToGrid w:val="0"/>
        </w:rPr>
        <w:t xml:space="preserve">and absolute </w:t>
      </w:r>
      <w:r w:rsidRPr="009A09FD" w:rsidR="00FC42AD">
        <w:rPr>
          <w:snapToGrid w:val="0"/>
        </w:rPr>
        <w:t>discretion</w:t>
      </w:r>
      <w:r w:rsidRPr="009A09FD" w:rsidR="009579B1">
        <w:rPr>
          <w:snapToGrid w:val="0"/>
        </w:rPr>
        <w:t>,</w:t>
      </w:r>
      <w:r w:rsidRPr="009A09FD" w:rsidR="00262D26">
        <w:rPr>
          <w:snapToGrid w:val="0"/>
        </w:rPr>
        <w:t xml:space="preserve"> and</w:t>
      </w:r>
      <w:r w:rsidRPr="009A09FD" w:rsidR="009579B1">
        <w:rPr>
          <w:snapToGrid w:val="0"/>
        </w:rPr>
        <w:t xml:space="preserve"> such allocation with respect to the</w:t>
      </w:r>
      <w:r w:rsidRPr="009A09FD" w:rsidR="00056B40">
        <w:rPr>
          <w:snapToGrid w:val="0"/>
        </w:rPr>
        <w:t xml:space="preserve"> Hong Kong Offer Shares,</w:t>
      </w:r>
      <w:r w:rsidRPr="009A09FD" w:rsidR="009579B1">
        <w:rPr>
          <w:snapToGrid w:val="0"/>
        </w:rPr>
        <w:t xml:space="preserve"> Firm Shares and Over-allotment Shares</w:t>
      </w:r>
      <w:r w:rsidRPr="009A09FD" w:rsidR="00262D26">
        <w:rPr>
          <w:snapToGrid w:val="0"/>
        </w:rPr>
        <w:t xml:space="preserve"> shall be made in accordance with </w:t>
      </w:r>
      <w:r w:rsidRPr="009A09FD" w:rsidR="00111954">
        <w:rPr>
          <w:snapToGrid w:val="0"/>
        </w:rPr>
        <w:fldChar w:fldCharType="begin"/>
      </w:r>
      <w:r w:rsidRPr="009A09FD" w:rsidR="00111954">
        <w:rPr>
          <w:snapToGrid w:val="0"/>
        </w:rPr>
        <w:instrText xml:space="preserve"> REF _Ref155102038 \n \h </w:instrText>
      </w:r>
      <w:r w:rsidRPr="009A09FD" w:rsidR="00B41F83">
        <w:rPr>
          <w:snapToGrid w:val="0"/>
        </w:rPr>
        <w:instrText xml:space="preserve"> \* MERGEFORMAT </w:instrText>
      </w:r>
      <w:r w:rsidRPr="009A09FD" w:rsidR="00111954">
        <w:rPr>
          <w:snapToGrid w:val="0"/>
        </w:rPr>
        <w:fldChar w:fldCharType="separate"/>
      </w:r>
      <w:r w:rsidRPr="009A09FD" w:rsidR="00ED2E07">
        <w:rPr>
          <w:snapToGrid w:val="0"/>
        </w:rPr>
        <w:t>Part B</w:t>
      </w:r>
      <w:r w:rsidRPr="009A09FD" w:rsidR="00111954">
        <w:rPr>
          <w:snapToGrid w:val="0"/>
        </w:rPr>
        <w:fldChar w:fldCharType="end"/>
      </w:r>
      <w:r w:rsidRPr="009A09FD" w:rsidR="00262D26">
        <w:rPr>
          <w:snapToGrid w:val="0"/>
        </w:rPr>
        <w:t xml:space="preserve"> of </w:t>
      </w:r>
      <w:r w:rsidRPr="009A09FD" w:rsidR="00111954">
        <w:rPr>
          <w:snapToGrid w:val="0"/>
        </w:rPr>
        <w:fldChar w:fldCharType="begin"/>
      </w:r>
      <w:r w:rsidRPr="009A09FD" w:rsidR="00111954">
        <w:rPr>
          <w:snapToGrid w:val="0"/>
        </w:rPr>
        <w:instrText xml:space="preserve"> REF _Ref155101112 \r \h </w:instrText>
      </w:r>
      <w:r w:rsidRPr="009A09FD" w:rsidR="00B41F83">
        <w:rPr>
          <w:snapToGrid w:val="0"/>
        </w:rPr>
        <w:instrText xml:space="preserve"> \* MERGEFORMAT </w:instrText>
      </w:r>
      <w:r w:rsidRPr="009A09FD" w:rsidR="00111954">
        <w:rPr>
          <w:snapToGrid w:val="0"/>
        </w:rPr>
        <w:fldChar w:fldCharType="separate"/>
      </w:r>
      <w:r w:rsidRPr="009A09FD" w:rsidR="00ED2E07">
        <w:rPr>
          <w:snapToGrid w:val="0"/>
        </w:rPr>
        <w:t>Schedule I</w:t>
      </w:r>
      <w:r w:rsidRPr="009A09FD" w:rsidR="00111954">
        <w:rPr>
          <w:snapToGrid w:val="0"/>
        </w:rPr>
        <w:fldChar w:fldCharType="end"/>
      </w:r>
      <w:r w:rsidRPr="009A09FD" w:rsidR="00262D26">
        <w:rPr>
          <w:snapToGrid w:val="0"/>
        </w:rPr>
        <w:t xml:space="preserve"> hereto</w:t>
      </w:r>
      <w:r w:rsidRPr="009A09FD" w:rsidR="00FC42AD">
        <w:rPr>
          <w:snapToGrid w:val="0"/>
        </w:rPr>
        <w:t>.</w:t>
      </w:r>
      <w:r w:rsidRPr="009A09FD" w:rsidR="00855705">
        <w:rPr>
          <w:snapToGrid w:val="0"/>
        </w:rPr>
        <w:t xml:space="preserve"> </w:t>
      </w:r>
      <w:bookmarkEnd w:id="32"/>
      <w:r w:rsidRPr="009A09FD" w:rsidR="006F32A1">
        <w:rPr>
          <w:snapToGrid w:val="0"/>
        </w:rPr>
        <w:t xml:space="preserve">The Company shall determine and notify the </w:t>
      </w:r>
      <w:r w:rsidRPr="009A09FD" w:rsidR="00841A0D">
        <w:rPr>
          <w:snapToGrid w:val="0"/>
        </w:rPr>
        <w:t xml:space="preserve">Overall Coordinators, the </w:t>
      </w:r>
      <w:r w:rsidRPr="009A09FD" w:rsidR="006F32A1">
        <w:rPr>
          <w:snapToGrid w:val="0"/>
        </w:rPr>
        <w:t xml:space="preserve">Joint Global Coordinators and the International Underwriters of the amount and the allocation of any </w:t>
      </w:r>
      <w:r w:rsidRPr="009A09FD" w:rsidR="00296B9B">
        <w:rPr>
          <w:snapToGrid w:val="0"/>
        </w:rPr>
        <w:t xml:space="preserve">of </w:t>
      </w:r>
      <w:r w:rsidRPr="009A09FD" w:rsidR="00996DA3">
        <w:rPr>
          <w:snapToGrid w:val="0"/>
        </w:rPr>
        <w:t xml:space="preserve">the </w:t>
      </w:r>
      <w:r w:rsidRPr="009A09FD" w:rsidR="006F32A1">
        <w:rPr>
          <w:snapToGrid w:val="0"/>
        </w:rPr>
        <w:t xml:space="preserve">incentive fee pursuant to </w:t>
      </w:r>
      <w:r w:rsidRPr="009A09FD" w:rsidR="00996DA3">
        <w:rPr>
          <w:snapToGrid w:val="0"/>
        </w:rPr>
        <w:t xml:space="preserve">this </w:t>
      </w:r>
      <w:r w:rsidRPr="009A09FD" w:rsidR="006F32A1">
        <w:rPr>
          <w:snapToGrid w:val="0"/>
        </w:rPr>
        <w:t xml:space="preserve">Section </w:t>
      </w:r>
      <w:r w:rsidRPr="009A09FD" w:rsidR="001B1AF9">
        <w:rPr>
          <w:snapToGrid w:val="0"/>
        </w:rPr>
        <w:t xml:space="preserve">1(c) and </w:t>
      </w:r>
      <w:r w:rsidRPr="009A09FD" w:rsidR="00996DA3">
        <w:rPr>
          <w:snapToGrid w:val="0"/>
        </w:rPr>
        <w:t xml:space="preserve">Section </w:t>
      </w:r>
      <w:r w:rsidRPr="009A09FD" w:rsidR="006F32A1">
        <w:rPr>
          <w:snapToGrid w:val="0"/>
        </w:rPr>
        <w:t>2(g) of this Agreement.</w:t>
      </w:r>
      <w:r w:rsidRPr="009A09FD">
        <w:rPr>
          <w:snapToGrid w:val="0"/>
        </w:rPr>
        <w:t xml:space="preserve"> The Company acknowledges that it has been advised by the Overall Coordinators the market’s practice on the ratio of the fixed and discretionary </w:t>
      </w:r>
      <w:r w:rsidRPr="009A09FD" w:rsidR="00C07EE2">
        <w:rPr>
          <w:snapToGrid w:val="0"/>
        </w:rPr>
        <w:t xml:space="preserve">incentive </w:t>
      </w:r>
      <w:r w:rsidRPr="009A09FD">
        <w:rPr>
          <w:snapToGrid w:val="0"/>
        </w:rPr>
        <w:t>fees to be paid to the syndicate Capital Market Intermediaries.]</w:t>
      </w:r>
      <w:r>
        <w:rPr>
          <w:rStyle w:val="FootnoteReference"/>
          <w:snapToGrid w:val="0"/>
        </w:rPr>
        <w:footnoteReference w:id="14"/>
      </w:r>
    </w:p>
    <w:p w:rsidR="00FD0810" w:rsidP="00A469A2" w14:paraId="763BACC8" w14:textId="2970EE03">
      <w:pPr>
        <w:pStyle w:val="Heading3"/>
        <w:rPr>
          <w:snapToGrid w:val="0"/>
        </w:rPr>
      </w:pPr>
      <w:bookmarkStart w:id="33" w:name="_Ref367265577"/>
      <w:bookmarkStart w:id="34" w:name="_Hlk182589637"/>
      <w:bookmarkStart w:id="35" w:name="_Hlk182588559"/>
      <w:r w:rsidRPr="009A09FD">
        <w:rPr>
          <w:snapToGrid w:val="0"/>
        </w:rPr>
        <w:t xml:space="preserve">In connection with the Global Offering, </w:t>
      </w:r>
      <w:r w:rsidRPr="009A09FD" w:rsidR="00F90C73">
        <w:rPr>
          <w:b/>
          <w:bCs/>
          <w:snapToGrid w:val="0"/>
        </w:rPr>
        <w:t>[</w:t>
      </w:r>
      <w:r w:rsidRPr="009A09FD" w:rsidR="00DC5955">
        <w:rPr>
          <w:b/>
          <w:bCs/>
          <w:snapToGrid w:val="0"/>
        </w:rPr>
        <w:t>I</w:t>
      </w:r>
      <w:r w:rsidRPr="009A09FD" w:rsidR="00F90C73">
        <w:rPr>
          <w:b/>
          <w:bCs/>
          <w:snapToGrid w:val="0"/>
        </w:rPr>
        <w:t>nsert name of the Stabilizing Manager]</w:t>
      </w:r>
      <w:r w:rsidRPr="009A09FD" w:rsidR="000714C8">
        <w:rPr>
          <w:snapToGrid w:val="0"/>
        </w:rPr>
        <w:t xml:space="preserve"> </w:t>
      </w:r>
      <w:r w:rsidRPr="009A09FD" w:rsidR="00640510">
        <w:rPr>
          <w:snapToGrid w:val="0"/>
        </w:rPr>
        <w:t xml:space="preserve">and/or any person acting for it </w:t>
      </w:r>
      <w:r w:rsidR="008D2840">
        <w:rPr>
          <w:snapToGrid w:val="0"/>
        </w:rPr>
        <w:t xml:space="preserve">are </w:t>
      </w:r>
      <w:r w:rsidR="00F32E73">
        <w:rPr>
          <w:snapToGrid w:val="0"/>
        </w:rPr>
        <w:t>hereby appointed</w:t>
      </w:r>
      <w:r w:rsidR="008D2840">
        <w:rPr>
          <w:snapToGrid w:val="0"/>
        </w:rPr>
        <w:t>, to the exclusion of all others,</w:t>
      </w:r>
      <w:r w:rsidRPr="009A09FD">
        <w:rPr>
          <w:snapToGrid w:val="0"/>
        </w:rPr>
        <w:t xml:space="preserve"> to act as stabilizing manager (the “</w:t>
      </w:r>
      <w:r w:rsidRPr="009A09FD">
        <w:rPr>
          <w:b/>
          <w:snapToGrid w:val="0"/>
        </w:rPr>
        <w:t>Stabilizing Manager</w:t>
      </w:r>
      <w:r w:rsidRPr="009A09FD">
        <w:rPr>
          <w:snapToGrid w:val="0"/>
        </w:rPr>
        <w:t xml:space="preserve">”) and may (but shall not be obliged to, and not as agent of the Company), to the extent permitted by applicable Laws, over-allocate or effect transactions in the market or otherwise (whether in Hong Kong or elsewhere) with a view to stabilizing or maintaining the market price of the Shares at a level higher than that which might otherwise prevail in the open market for a limited period after the commencement of trading in the Shares.  The Stabilizing Manager may, in its sole and absolute discretion, appoint any person(s) to be its agent or agents for the purposes of taking any stabilization action pursuant to this subsection </w:t>
      </w:r>
      <w:r w:rsidRPr="009A09FD">
        <w:rPr>
          <w:snapToGrid w:val="0"/>
        </w:rPr>
        <w:fldChar w:fldCharType="begin"/>
      </w:r>
      <w:r w:rsidRPr="009A09FD">
        <w:rPr>
          <w:snapToGrid w:val="0"/>
        </w:rPr>
        <w:instrText xml:space="preserve"> REF _Ref367265577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Any such agent or agents shall have the rights and authorities conferred upon the Stabilizing Manager pursuant to this subsection </w:t>
      </w:r>
      <w:r w:rsidRPr="009A09FD">
        <w:rPr>
          <w:snapToGrid w:val="0"/>
        </w:rPr>
        <w:fldChar w:fldCharType="begin"/>
      </w:r>
      <w:r w:rsidRPr="009A09FD">
        <w:rPr>
          <w:snapToGrid w:val="0"/>
        </w:rPr>
        <w:instrText xml:space="preserve"> REF _Ref367265577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Stabilization actions taken pursuant to this subsection </w:t>
      </w:r>
      <w:r w:rsidRPr="009A09FD">
        <w:rPr>
          <w:snapToGrid w:val="0"/>
        </w:rPr>
        <w:fldChar w:fldCharType="begin"/>
      </w:r>
      <w:r w:rsidRPr="009A09FD">
        <w:rPr>
          <w:snapToGrid w:val="0"/>
        </w:rPr>
        <w:instrText xml:space="preserve"> REF _Ref367265577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if commenced, may be discontinued at any time in the sole and absolute discretion of the Stabilizing Manager, or any person acting for it.  Each of the International Underwriters (other than the Stabilizing Manager, or any person acting for it) hereby undertakes severally </w:t>
      </w:r>
      <w:r w:rsidRPr="009A09FD" w:rsidR="00932A9D">
        <w:rPr>
          <w:snapToGrid w:val="0"/>
        </w:rPr>
        <w:t>but not jointly</w:t>
      </w:r>
      <w:r w:rsidRPr="009A09FD">
        <w:rPr>
          <w:snapToGrid w:val="0"/>
        </w:rPr>
        <w:t xml:space="preserve"> to each other party (including the Stabilizing Manager, the </w:t>
      </w:r>
      <w:r w:rsidRPr="009A09FD" w:rsidR="006076C1">
        <w:rPr>
          <w:snapToGrid w:val="0"/>
        </w:rPr>
        <w:t>Overall Coordinators</w:t>
      </w:r>
      <w:r w:rsidRPr="009A09FD">
        <w:rPr>
          <w:rFonts w:hint="eastAsia"/>
          <w:snapToGrid w:val="0"/>
        </w:rPr>
        <w:t xml:space="preserve"> and the </w:t>
      </w:r>
      <w:r w:rsidRPr="009A09FD">
        <w:rPr>
          <w:snapToGrid w:val="0"/>
        </w:rPr>
        <w:t xml:space="preserve">Joint Global Coordinators) to this Agreement that it will not take or cause or authorize any person to take, and shall cause its Affiliates and/or agents not to take, directly or indirectly (in the open market or otherwise), any stabilization action or any action which is designed to or which constitutes or which might be expected to cause or result in the stabilization or maintenance of the price of any security of the Company. </w:t>
      </w:r>
      <w:r w:rsidRPr="009A09FD" w:rsidR="00245CC6">
        <w:rPr>
          <w:snapToGrid w:val="0"/>
        </w:rPr>
        <w:t xml:space="preserve">Any expenses and losses resulting from such stabilization or other transactions effected pursuant to this clause shall be debited, and any profit arising from them shall be beneficially credited, by the Stabilizing Manager to a stabilization account the arrangement regarding which shall be a matter exclusively for the Stabilizing Manager </w:t>
      </w:r>
      <w:r w:rsidRPr="009A09FD" w:rsidR="00B766A3">
        <w:rPr>
          <w:snapToGrid w:val="0"/>
        </w:rPr>
        <w:t>and the International Underwriters governed by the Agreement Among International Underwriters.</w:t>
      </w:r>
      <w:bookmarkEnd w:id="33"/>
      <w:bookmarkEnd w:id="34"/>
    </w:p>
    <w:p w:rsidR="00FE0D0B" w:rsidRPr="00FE0D0B" w:rsidP="00FE0D0B" w14:paraId="729F6CF3" w14:textId="46BC6A9F">
      <w:pPr>
        <w:pStyle w:val="Heading3"/>
      </w:pPr>
      <w:r w:rsidRPr="003A1D5D">
        <w:t xml:space="preserve">Each International Underwriter can enter into sub-underwriting arrangements in respect of any part of its respective underwriting commitment set forth opposite the name of such International Underwriter in </w:t>
      </w:r>
      <w:r>
        <w:t xml:space="preserve">Part A of </w:t>
      </w:r>
      <w:r w:rsidRPr="003A1D5D">
        <w:t>Schedule I hereto, provided that no International Underwriter can offer or sell any International Offer Shares in connection with any such sub-underwriting arrangements to any person in respect of whom such offer or sale would be in contravention of applicable Laws or selling restrictions set out in any Offering Documents. All commissions payable for any sub-underwriting arrangements will be borne by the relevant International Underwriter absolutely.</w:t>
      </w:r>
    </w:p>
    <w:p w:rsidR="001C5107" w:rsidRPr="009A09FD" w:rsidP="00A469A2" w14:paraId="01C4012F" w14:textId="77777777">
      <w:pPr>
        <w:pStyle w:val="Heading1"/>
        <w:rPr>
          <w:snapToGrid w:val="0"/>
        </w:rPr>
      </w:pPr>
      <w:bookmarkStart w:id="36" w:name="_Ref367265578"/>
      <w:bookmarkStart w:id="37" w:name="_Toc517409034"/>
      <w:bookmarkStart w:id="38" w:name="_Toc72862702"/>
      <w:bookmarkStart w:id="39" w:name="_Hlk517375405"/>
      <w:bookmarkEnd w:id="35"/>
      <w:r w:rsidRPr="009A09FD">
        <w:rPr>
          <w:snapToGrid w:val="0"/>
        </w:rPr>
        <w:t>Payment and Delivery</w:t>
      </w:r>
      <w:bookmarkEnd w:id="36"/>
      <w:bookmarkEnd w:id="37"/>
      <w:bookmarkEnd w:id="38"/>
      <w:r w:rsidRPr="009A09FD">
        <w:rPr>
          <w:rFonts w:hint="eastAsia"/>
          <w:snapToGrid w:val="0"/>
        </w:rPr>
        <w:t xml:space="preserve"> </w:t>
      </w:r>
    </w:p>
    <w:p w:rsidR="001C5107" w:rsidRPr="009A09FD" w:rsidP="003C6CDA" w14:paraId="576E2896" w14:textId="08F03818">
      <w:pPr>
        <w:pStyle w:val="Heading3"/>
        <w:rPr>
          <w:snapToGrid w:val="0"/>
        </w:rPr>
      </w:pPr>
      <w:bookmarkStart w:id="40" w:name="_Ref367265579"/>
      <w:r w:rsidRPr="009A09FD">
        <w:rPr>
          <w:snapToGrid w:val="0"/>
        </w:rPr>
        <w:t xml:space="preserve">The Company hereby appoints </w:t>
      </w:r>
      <w:r w:rsidRPr="009A09FD" w:rsidR="00F90C73">
        <w:rPr>
          <w:b/>
          <w:bCs/>
          <w:snapToGrid w:val="0"/>
        </w:rPr>
        <w:t>[</w:t>
      </w:r>
      <w:r w:rsidRPr="009A09FD" w:rsidR="00B93695">
        <w:rPr>
          <w:b/>
          <w:bCs/>
          <w:snapToGrid w:val="0"/>
        </w:rPr>
        <w:t>I</w:t>
      </w:r>
      <w:r w:rsidRPr="009A09FD" w:rsidR="00F90C73">
        <w:rPr>
          <w:b/>
          <w:bCs/>
          <w:snapToGrid w:val="0"/>
        </w:rPr>
        <w:t>nsert name of the Settlement Agent]</w:t>
      </w:r>
      <w:r w:rsidRPr="009A09FD" w:rsidR="005C5076">
        <w:rPr>
          <w:snapToGrid w:val="0"/>
        </w:rPr>
        <w:t xml:space="preserve"> </w:t>
      </w:r>
      <w:r w:rsidRPr="009A09FD">
        <w:rPr>
          <w:snapToGrid w:val="0"/>
        </w:rPr>
        <w:t>as the settlement agent for the Global Offering (the “</w:t>
      </w:r>
      <w:r w:rsidRPr="009A09FD">
        <w:rPr>
          <w:b/>
          <w:bCs/>
          <w:snapToGrid w:val="0"/>
        </w:rPr>
        <w:t>Settlement Agent</w:t>
      </w:r>
      <w:r w:rsidRPr="009A09FD">
        <w:rPr>
          <w:snapToGrid w:val="0"/>
        </w:rPr>
        <w:t>”).</w:t>
      </w:r>
      <w:r w:rsidRPr="009A09FD">
        <w:rPr>
          <w:rFonts w:hint="eastAsia"/>
          <w:snapToGrid w:val="0"/>
        </w:rPr>
        <w:t xml:space="preserve"> </w:t>
      </w:r>
      <w:r w:rsidRPr="009A09FD">
        <w:rPr>
          <w:snapToGrid w:val="0"/>
        </w:rPr>
        <w:t xml:space="preserve">By </w:t>
      </w:r>
      <w:r w:rsidRPr="009A09FD" w:rsidR="003A75BD">
        <w:rPr>
          <w:snapToGrid w:val="0"/>
        </w:rPr>
        <w:t>[</w:t>
      </w:r>
      <w:r w:rsidRPr="009A09FD">
        <w:rPr>
          <w:snapToGrid w:val="0"/>
        </w:rPr>
        <w:t>10:00 a.m.</w:t>
      </w:r>
      <w:r w:rsidRPr="009A09FD" w:rsidR="003A75BD">
        <w:rPr>
          <w:snapToGrid w:val="0"/>
        </w:rPr>
        <w:t>]</w:t>
      </w:r>
      <w:r w:rsidRPr="009A09FD">
        <w:rPr>
          <w:snapToGrid w:val="0"/>
        </w:rPr>
        <w:t>, Hong Kong time, on the date of the First Time of Delivery, or at such other time on the same date as shall be agreed with the Settlement Agent, each International Underwriter shall place settlement instructions in the Central Clearing and Settlement System (“</w:t>
      </w:r>
      <w:r w:rsidRPr="009A09FD">
        <w:rPr>
          <w:b/>
          <w:snapToGrid w:val="0"/>
        </w:rPr>
        <w:t>CCASS</w:t>
      </w:r>
      <w:r w:rsidRPr="009A09FD">
        <w:rPr>
          <w:snapToGrid w:val="0"/>
        </w:rPr>
        <w:t xml:space="preserve">”) matching the Settlement Agent’s instructions in delivery versus payment settlement method.  It is understood and agreed by the Company and the International Underwriters that proceeds </w:t>
      </w:r>
      <w:r w:rsidRPr="009A09FD" w:rsidR="00FE72A1">
        <w:rPr>
          <w:snapToGrid w:val="0"/>
        </w:rPr>
        <w:t>received</w:t>
      </w:r>
      <w:r w:rsidRPr="009A09FD" w:rsidR="009A09FD">
        <w:rPr>
          <w:snapToGrid w:val="0"/>
        </w:rPr>
        <w:t xml:space="preserve"> </w:t>
      </w:r>
      <w:r w:rsidRPr="009A09FD">
        <w:rPr>
          <w:snapToGrid w:val="0"/>
        </w:rPr>
        <w:t>by each International Underwriter for the settlement will consist of the Offer Price, Brokerage, Trading Fee</w:t>
      </w:r>
      <w:r w:rsidRPr="009A09FD" w:rsidR="00AC523E">
        <w:rPr>
          <w:snapToGrid w:val="0"/>
        </w:rPr>
        <w:t xml:space="preserve">, the SFC Transaction Levy and the AFRC Transaction Levy </w:t>
      </w:r>
      <w:r w:rsidRPr="009A09FD">
        <w:rPr>
          <w:snapToGrid w:val="0"/>
        </w:rPr>
        <w:t>payable by the purchasers of the International Offer Shares.</w:t>
      </w:r>
      <w:r w:rsidRPr="009A09FD" w:rsidR="00FE72A1">
        <w:rPr>
          <w:snapToGrid w:val="0"/>
        </w:rPr>
        <w:t>]</w:t>
      </w:r>
      <w:r w:rsidRPr="009A09FD">
        <w:rPr>
          <w:snapToGrid w:val="0"/>
        </w:rPr>
        <w:t xml:space="preserve"> </w:t>
      </w:r>
      <w:bookmarkStart w:id="41" w:name="_Hlk182591491"/>
      <w:r w:rsidRPr="009A09FD">
        <w:rPr>
          <w:snapToGrid w:val="0"/>
        </w:rPr>
        <w:t xml:space="preserve"> </w:t>
      </w:r>
      <w:bookmarkEnd w:id="41"/>
      <w:r w:rsidRPr="009A09FD">
        <w:rPr>
          <w:snapToGrid w:val="0"/>
        </w:rPr>
        <w:t xml:space="preserve">The International Underwriters will arrange a similar settlement method for the </w:t>
      </w:r>
      <w:r w:rsidRPr="009A09FD">
        <w:rPr>
          <w:rFonts w:hint="eastAsia"/>
          <w:snapToGrid w:val="0"/>
        </w:rPr>
        <w:t xml:space="preserve">purchase of </w:t>
      </w:r>
      <w:r w:rsidRPr="009A09FD">
        <w:rPr>
          <w:snapToGrid w:val="0"/>
        </w:rPr>
        <w:t xml:space="preserve">Over-allotment Option Shares, if any, on one or more dates specified by the </w:t>
      </w:r>
      <w:r w:rsidRPr="009A09FD" w:rsidR="00027611">
        <w:rPr>
          <w:snapToGrid w:val="0"/>
        </w:rPr>
        <w:t>Overall Coordinators</w:t>
      </w:r>
      <w:r w:rsidRPr="009A09FD">
        <w:rPr>
          <w:snapToGrid w:val="0"/>
        </w:rPr>
        <w:t>.</w:t>
      </w:r>
    </w:p>
    <w:p w:rsidR="001C5107" w:rsidRPr="009A09FD" w:rsidP="003C6CDA" w14:paraId="3817EB65" w14:textId="31A42C59">
      <w:pPr>
        <w:pStyle w:val="Heading3"/>
        <w:rPr>
          <w:snapToGrid w:val="0"/>
        </w:rPr>
      </w:pPr>
      <w:bookmarkStart w:id="42" w:name="_Ref517407404"/>
      <w:r w:rsidRPr="009A09FD">
        <w:rPr>
          <w:snapToGrid w:val="0"/>
        </w:rPr>
        <w:t xml:space="preserve">The deliveries and payments described in subsection </w:t>
      </w:r>
      <w:r w:rsidRPr="009A09FD">
        <w:rPr>
          <w:snapToGrid w:val="0"/>
        </w:rPr>
        <w:fldChar w:fldCharType="begin"/>
      </w:r>
      <w:r w:rsidRPr="009A09FD">
        <w:rPr>
          <w:snapToGrid w:val="0"/>
        </w:rPr>
        <w:instrText xml:space="preserve"> REF _Ref367265580 \r \h  \* MERGEFORMAT </w:instrText>
      </w:r>
      <w:r w:rsidRPr="009A09FD">
        <w:rPr>
          <w:snapToGrid w:val="0"/>
        </w:rPr>
        <w:fldChar w:fldCharType="separate"/>
      </w:r>
      <w:r w:rsidRPr="009A09FD" w:rsidR="00ED2E07">
        <w:rPr>
          <w:snapToGrid w:val="0"/>
        </w:rPr>
        <w:t>(c)</w:t>
      </w:r>
      <w:r w:rsidRPr="009A09FD">
        <w:rPr>
          <w:snapToGrid w:val="0"/>
        </w:rPr>
        <w:fldChar w:fldCharType="end"/>
      </w:r>
      <w:r w:rsidRPr="009A09FD">
        <w:rPr>
          <w:snapToGrid w:val="0"/>
        </w:rPr>
        <w:t xml:space="preserve"> of this </w:t>
      </w:r>
      <w:bookmarkStart w:id="43" w:name="DocXTextRef20"/>
      <w:r w:rsidRPr="009A09FD">
        <w:rPr>
          <w:snapToGrid w:val="0"/>
        </w:rPr>
        <w:t xml:space="preserve">Section </w:t>
      </w:r>
      <w:bookmarkEnd w:id="43"/>
      <w:r w:rsidRPr="009A09FD">
        <w:rPr>
          <w:snapToGrid w:val="0"/>
        </w:rPr>
        <w:fldChar w:fldCharType="begin"/>
      </w:r>
      <w:r w:rsidRPr="009A09FD">
        <w:rPr>
          <w:snapToGrid w:val="0"/>
        </w:rPr>
        <w:instrText xml:space="preserve"> REF _Ref367265578 \r \h  \* MERGEFORMAT </w:instrText>
      </w:r>
      <w:r w:rsidRPr="009A09FD">
        <w:rPr>
          <w:snapToGrid w:val="0"/>
        </w:rPr>
        <w:fldChar w:fldCharType="separate"/>
      </w:r>
      <w:r w:rsidRPr="009A09FD" w:rsidR="00ED2E07">
        <w:rPr>
          <w:snapToGrid w:val="0"/>
        </w:rPr>
        <w:t>2</w:t>
      </w:r>
      <w:r w:rsidRPr="009A09FD">
        <w:rPr>
          <w:snapToGrid w:val="0"/>
        </w:rPr>
        <w:fldChar w:fldCharType="end"/>
      </w:r>
      <w:r w:rsidRPr="009A09FD">
        <w:rPr>
          <w:snapToGrid w:val="0"/>
        </w:rPr>
        <w:t xml:space="preserve"> shall be made </w:t>
      </w:r>
      <w:bookmarkStart w:id="44" w:name="DocXTextRef18"/>
      <w:r w:rsidRPr="009A09FD">
        <w:rPr>
          <w:snapToGrid w:val="0"/>
        </w:rPr>
        <w:t>(A)</w:t>
      </w:r>
      <w:bookmarkEnd w:id="44"/>
      <w:r w:rsidRPr="009A09FD">
        <w:rPr>
          <w:snapToGrid w:val="0"/>
        </w:rPr>
        <w:t xml:space="preserve"> with respect to the Firm Shares, at or around </w:t>
      </w:r>
      <w:r w:rsidRPr="009A09FD" w:rsidR="003A75BD">
        <w:rPr>
          <w:snapToGrid w:val="0"/>
        </w:rPr>
        <w:t>[</w:t>
      </w:r>
      <w:r w:rsidRPr="009A09FD">
        <w:rPr>
          <w:snapToGrid w:val="0"/>
        </w:rPr>
        <w:t>5:00 p.m.</w:t>
      </w:r>
      <w:r w:rsidRPr="009A09FD" w:rsidR="003A75BD">
        <w:rPr>
          <w:snapToGrid w:val="0"/>
        </w:rPr>
        <w:t>]</w:t>
      </w:r>
      <w:r w:rsidRPr="009A09FD">
        <w:rPr>
          <w:snapToGrid w:val="0"/>
        </w:rPr>
        <w:t xml:space="preserve">, Hong Kong time, on </w:t>
      </w:r>
      <w:r w:rsidRPr="009A09FD" w:rsidR="00A2252B">
        <w:rPr>
          <w:b/>
          <w:bCs/>
          <w:snapToGrid w:val="0"/>
        </w:rPr>
        <w:t>[</w:t>
      </w:r>
      <w:r w:rsidRPr="009A09FD" w:rsidR="00B93695">
        <w:rPr>
          <w:b/>
          <w:bCs/>
          <w:snapToGrid w:val="0"/>
        </w:rPr>
        <w:t>I</w:t>
      </w:r>
      <w:r w:rsidRPr="009A09FD" w:rsidR="00A2252B">
        <w:rPr>
          <w:b/>
          <w:bCs/>
          <w:snapToGrid w:val="0"/>
        </w:rPr>
        <w:t>nsert date]</w:t>
      </w:r>
      <w:r w:rsidRPr="009A09FD" w:rsidR="00300640">
        <w:rPr>
          <w:snapToGrid w:val="0"/>
        </w:rPr>
        <w:t xml:space="preserve"> </w:t>
      </w:r>
      <w:r w:rsidRPr="009A09FD">
        <w:rPr>
          <w:snapToGrid w:val="0"/>
        </w:rPr>
        <w:t xml:space="preserve">or such other time and date as the Settlement Agent and the Company may agree upon in writing, and </w:t>
      </w:r>
      <w:bookmarkStart w:id="45" w:name="DocXTextRef19"/>
      <w:r w:rsidRPr="009A09FD">
        <w:rPr>
          <w:snapToGrid w:val="0"/>
        </w:rPr>
        <w:t>(B)</w:t>
      </w:r>
      <w:bookmarkEnd w:id="45"/>
      <w:r w:rsidRPr="009A09FD">
        <w:rPr>
          <w:snapToGrid w:val="0"/>
        </w:rPr>
        <w:t xml:space="preserve"> with respect to the Over-allotment Option Shares as to which the Over-allotment Option has been exercised, at or around </w:t>
      </w:r>
      <w:r w:rsidRPr="009A09FD" w:rsidR="003A75BD">
        <w:rPr>
          <w:snapToGrid w:val="0"/>
        </w:rPr>
        <w:t>[</w:t>
      </w:r>
      <w:r w:rsidRPr="009A09FD">
        <w:rPr>
          <w:snapToGrid w:val="0"/>
        </w:rPr>
        <w:t>5:00 p.m.</w:t>
      </w:r>
      <w:r w:rsidRPr="009A09FD" w:rsidR="003A75BD">
        <w:rPr>
          <w:snapToGrid w:val="0"/>
        </w:rPr>
        <w:t>]</w:t>
      </w:r>
      <w:r w:rsidRPr="009A09FD">
        <w:rPr>
          <w:snapToGrid w:val="0"/>
        </w:rPr>
        <w:t xml:space="preserve">, Hong Kong time, on the date specified by the </w:t>
      </w:r>
      <w:r w:rsidRPr="009A09FD" w:rsidR="00B228AA">
        <w:rPr>
          <w:snapToGrid w:val="0"/>
        </w:rPr>
        <w:t xml:space="preserve">Overall Coordinators </w:t>
      </w:r>
      <w:r w:rsidRPr="009A09FD">
        <w:rPr>
          <w:snapToGrid w:val="0"/>
        </w:rPr>
        <w:t xml:space="preserve">in the written notice given by the </w:t>
      </w:r>
      <w:r w:rsidRPr="009A09FD" w:rsidR="00AF7F1C">
        <w:rPr>
          <w:snapToGrid w:val="0"/>
        </w:rPr>
        <w:t>Overall Coordinators</w:t>
      </w:r>
      <w:r w:rsidRPr="009A09FD">
        <w:rPr>
          <w:snapToGrid w:val="0"/>
        </w:rPr>
        <w:t xml:space="preserve"> of their exercise on behalf of the International Underwriters of the Over-allotment Option to purchase such Over-allotment Option Shares or such other time and date as the </w:t>
      </w:r>
      <w:r w:rsidRPr="009A09FD" w:rsidR="00957A90">
        <w:rPr>
          <w:snapToGrid w:val="0"/>
        </w:rPr>
        <w:t xml:space="preserve">Overall Coordinators </w:t>
      </w:r>
      <w:r w:rsidRPr="009A09FD">
        <w:rPr>
          <w:snapToGrid w:val="0"/>
        </w:rPr>
        <w:t>and the Company may agree upon in writing.  Such time and date for delivery of, and payment for, the Firm Shares is herein referred to as the “</w:t>
      </w:r>
      <w:r w:rsidRPr="009A09FD">
        <w:rPr>
          <w:b/>
          <w:snapToGrid w:val="0"/>
        </w:rPr>
        <w:t>First Time of Delivery</w:t>
      </w:r>
      <w:r w:rsidRPr="009A09FD">
        <w:rPr>
          <w:snapToGrid w:val="0"/>
        </w:rPr>
        <w:t>”; such time and date for delivery of, and payment for, the Over-allotment Option Shares, if not the First Time of Delivery, is herein referred to as an “</w:t>
      </w:r>
      <w:r w:rsidRPr="009A09FD">
        <w:rPr>
          <w:b/>
          <w:snapToGrid w:val="0"/>
        </w:rPr>
        <w:t>Additional Time of Delivery</w:t>
      </w:r>
      <w:r w:rsidRPr="009A09FD">
        <w:rPr>
          <w:snapToGrid w:val="0"/>
        </w:rPr>
        <w:t>”; each such time and date for delivery and payment is herein called a “</w:t>
      </w:r>
      <w:r w:rsidRPr="009A09FD">
        <w:rPr>
          <w:b/>
          <w:snapToGrid w:val="0"/>
        </w:rPr>
        <w:t>Time of Delivery</w:t>
      </w:r>
      <w:r w:rsidRPr="009A09FD">
        <w:rPr>
          <w:snapToGrid w:val="0"/>
        </w:rPr>
        <w:t>”.</w:t>
      </w:r>
      <w:bookmarkEnd w:id="40"/>
      <w:bookmarkEnd w:id="42"/>
    </w:p>
    <w:p w:rsidR="001C5107" w:rsidRPr="009A09FD" w:rsidP="003C6CDA" w14:paraId="08AE5790" w14:textId="74FEEDD4">
      <w:pPr>
        <w:pStyle w:val="Heading3"/>
        <w:rPr>
          <w:snapToGrid w:val="0"/>
        </w:rPr>
      </w:pPr>
      <w:bookmarkStart w:id="46" w:name="_Ref367265580"/>
      <w:r w:rsidRPr="009A09FD">
        <w:rPr>
          <w:snapToGrid w:val="0"/>
        </w:rPr>
        <w:t xml:space="preserve">By </w:t>
      </w:r>
      <w:r w:rsidRPr="009A09FD" w:rsidR="003A75BD">
        <w:rPr>
          <w:snapToGrid w:val="0"/>
        </w:rPr>
        <w:t>[</w:t>
      </w:r>
      <w:r w:rsidRPr="009A09FD">
        <w:rPr>
          <w:snapToGrid w:val="0"/>
        </w:rPr>
        <w:t>9:30 a.m.</w:t>
      </w:r>
      <w:r w:rsidRPr="009A09FD" w:rsidR="003A75BD">
        <w:rPr>
          <w:snapToGrid w:val="0"/>
        </w:rPr>
        <w:t>]</w:t>
      </w:r>
      <w:r w:rsidRPr="009A09FD">
        <w:rPr>
          <w:snapToGrid w:val="0"/>
        </w:rPr>
        <w:t xml:space="preserve">, Hong Kong time, on the date of each Time of Delivery, or at such other time on the same or such other date as shall be agreed with the Settlement Agent, the International Offer Shares to be purchased by (or by purchasers procured by) each International Underwriter </w:t>
      </w:r>
      <w:r w:rsidRPr="009A09FD" w:rsidR="002D655E">
        <w:rPr>
          <w:snapToGrid w:val="0"/>
        </w:rPr>
        <w:t xml:space="preserve">or its Affiliates </w:t>
      </w:r>
      <w:r w:rsidRPr="009A09FD">
        <w:rPr>
          <w:snapToGrid w:val="0"/>
        </w:rPr>
        <w:t xml:space="preserve">hereunder (including any Unsold Shares reallocated to the International Offering to such International Underwriter </w:t>
      </w:r>
      <w:r w:rsidRPr="009A09FD" w:rsidR="00AD2204">
        <w:rPr>
          <w:snapToGrid w:val="0"/>
        </w:rPr>
        <w:t xml:space="preserve">or its Affiliates </w:t>
      </w:r>
      <w:r w:rsidRPr="009A09FD">
        <w:rPr>
          <w:snapToGrid w:val="0"/>
        </w:rPr>
        <w:t xml:space="preserve">pursuant to </w:t>
      </w:r>
      <w:bookmarkStart w:id="47" w:name="DocXTextRef21"/>
      <w:r w:rsidRPr="009A09FD">
        <w:rPr>
          <w:snapToGrid w:val="0"/>
        </w:rPr>
        <w:t xml:space="preserve">Section </w:t>
      </w:r>
      <w:bookmarkEnd w:id="47"/>
      <w:r w:rsidRPr="009A09FD">
        <w:rPr>
          <w:snapToGrid w:val="0"/>
        </w:rPr>
        <w:fldChar w:fldCharType="begin"/>
      </w:r>
      <w:r w:rsidRPr="009A09FD">
        <w:rPr>
          <w:snapToGrid w:val="0"/>
        </w:rPr>
        <w:instrText xml:space="preserve"> REF _Ref517407391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hereof) shall be delivered by or on behalf of the Company to the Settlement Agent, in definitive form, and in such authorized denominations and registered in such names as the </w:t>
      </w:r>
      <w:r w:rsidRPr="009A09FD" w:rsidR="005E00E8">
        <w:rPr>
          <w:snapToGrid w:val="0"/>
        </w:rPr>
        <w:t xml:space="preserve">Overall Coordinators </w:t>
      </w:r>
      <w:r w:rsidRPr="009A09FD">
        <w:rPr>
          <w:snapToGrid w:val="0"/>
        </w:rPr>
        <w:t>may</w:t>
      </w:r>
      <w:r w:rsidRPr="009A09FD" w:rsidR="007349C0">
        <w:rPr>
          <w:snapToGrid w:val="0"/>
        </w:rPr>
        <w:t>,</w:t>
      </w:r>
      <w:r w:rsidRPr="009A09FD">
        <w:rPr>
          <w:snapToGrid w:val="0"/>
        </w:rPr>
        <w:t xml:space="preserve"> on behalf of such International Underwriter </w:t>
      </w:r>
      <w:r w:rsidRPr="009A09FD" w:rsidR="006C469F">
        <w:rPr>
          <w:snapToGrid w:val="0"/>
        </w:rPr>
        <w:t>or its Affiliates</w:t>
      </w:r>
      <w:r w:rsidRPr="009A09FD" w:rsidR="007349C0">
        <w:rPr>
          <w:snapToGrid w:val="0"/>
        </w:rPr>
        <w:t>,</w:t>
      </w:r>
      <w:r w:rsidRPr="009A09FD" w:rsidR="006C469F">
        <w:rPr>
          <w:snapToGrid w:val="0"/>
        </w:rPr>
        <w:t xml:space="preserve"> </w:t>
      </w:r>
      <w:r w:rsidRPr="009A09FD">
        <w:rPr>
          <w:snapToGrid w:val="0"/>
        </w:rPr>
        <w:t>request by at least two business days’ notice to the Company prior to each Time of Delivery,</w:t>
      </w:r>
      <w:r w:rsidRPr="009A09FD" w:rsidR="001D6ED8">
        <w:rPr>
          <w:snapToGrid w:val="0"/>
        </w:rPr>
        <w:t xml:space="preserve"> for dispatch or release to the purchasers of such International Offer Shares, or as the case may be,</w:t>
      </w:r>
      <w:r w:rsidRPr="009A09FD">
        <w:rPr>
          <w:snapToGrid w:val="0"/>
        </w:rPr>
        <w:t xml:space="preserve"> through the facilities of Hong Kong Securities Clearing Company Limited (“</w:t>
      </w:r>
      <w:r w:rsidRPr="009A09FD">
        <w:rPr>
          <w:b/>
          <w:snapToGrid w:val="0"/>
        </w:rPr>
        <w:t>HKSCC</w:t>
      </w:r>
      <w:r w:rsidRPr="009A09FD">
        <w:rPr>
          <w:snapToGrid w:val="0"/>
        </w:rPr>
        <w:t xml:space="preserve">”) for credit to the accounts of the Settlement Agent in CCASS as designated by the Settlement Agent, on behalf of such International Underwriters; the corresponding payment (equal to the proceeds received by the Settlement Agent from such International Underwriters through </w:t>
      </w:r>
      <w:r w:rsidRPr="009A09FD" w:rsidR="00E80F70">
        <w:rPr>
          <w:snapToGrid w:val="0"/>
        </w:rPr>
        <w:t>[</w:t>
      </w:r>
      <w:r w:rsidRPr="009A09FD">
        <w:rPr>
          <w:snapToGrid w:val="0"/>
        </w:rPr>
        <w:t>4:00</w:t>
      </w:r>
      <w:r w:rsidRPr="009A09FD" w:rsidR="00E80F70">
        <w:rPr>
          <w:snapToGrid w:val="0"/>
        </w:rPr>
        <w:t xml:space="preserve"> </w:t>
      </w:r>
      <w:r w:rsidRPr="009A09FD">
        <w:rPr>
          <w:snapToGrid w:val="0"/>
        </w:rPr>
        <w:t>p.m.</w:t>
      </w:r>
      <w:r w:rsidRPr="009A09FD" w:rsidR="00E80F70">
        <w:rPr>
          <w:snapToGrid w:val="0"/>
        </w:rPr>
        <w:t>]</w:t>
      </w:r>
      <w:r w:rsidRPr="009A09FD">
        <w:rPr>
          <w:snapToGrid w:val="0"/>
        </w:rPr>
        <w:t xml:space="preserve"> on each Time of Delivery, less deductions explicitly permitted hereunder) will be made by wire transfer in Hong Kong dollars in immediately available funds by the Settlement Agent pursuant to subsection </w:t>
      </w:r>
      <w:r w:rsidRPr="009A09FD">
        <w:rPr>
          <w:snapToGrid w:val="0"/>
        </w:rPr>
        <w:fldChar w:fldCharType="begin"/>
      </w:r>
      <w:r w:rsidRPr="009A09FD">
        <w:rPr>
          <w:snapToGrid w:val="0"/>
        </w:rPr>
        <w:instrText xml:space="preserve"> REF _Ref517407404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(b)</w:t>
      </w:r>
      <w:r w:rsidRPr="009A09FD">
        <w:rPr>
          <w:snapToGrid w:val="0"/>
        </w:rPr>
        <w:fldChar w:fldCharType="end"/>
      </w:r>
      <w:r w:rsidRPr="009A09FD">
        <w:rPr>
          <w:snapToGrid w:val="0"/>
        </w:rPr>
        <w:t xml:space="preserve"> of this Section </w:t>
      </w:r>
      <w:r w:rsidRPr="009A09FD">
        <w:rPr>
          <w:snapToGrid w:val="0"/>
        </w:rPr>
        <w:fldChar w:fldCharType="begin"/>
      </w:r>
      <w:r w:rsidRPr="009A09FD">
        <w:rPr>
          <w:snapToGrid w:val="0"/>
        </w:rPr>
        <w:instrText xml:space="preserve"> REF _Ref367265578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2</w:t>
      </w:r>
      <w:r w:rsidRPr="009A09FD">
        <w:rPr>
          <w:snapToGrid w:val="0"/>
        </w:rPr>
        <w:fldChar w:fldCharType="end"/>
      </w:r>
      <w:r w:rsidRPr="009A09FD">
        <w:rPr>
          <w:snapToGrid w:val="0"/>
        </w:rPr>
        <w:t xml:space="preserve"> on behalf of the relevant International Underwriters </w:t>
      </w:r>
      <w:r w:rsidRPr="009A09FD" w:rsidR="00996EA1">
        <w:rPr>
          <w:snapToGrid w:val="0"/>
        </w:rPr>
        <w:t xml:space="preserve">or their respective Affiliates </w:t>
      </w:r>
      <w:r w:rsidRPr="009A09FD">
        <w:rPr>
          <w:snapToGrid w:val="0"/>
        </w:rPr>
        <w:t>to such account or accounts specified by the Company</w:t>
      </w:r>
      <w:r w:rsidRPr="009A09FD" w:rsidR="00883750">
        <w:rPr>
          <w:snapToGrid w:val="0"/>
        </w:rPr>
        <w:t xml:space="preserve"> in Schedule V</w:t>
      </w:r>
      <w:r w:rsidRPr="009A09FD">
        <w:rPr>
          <w:snapToGrid w:val="0"/>
        </w:rPr>
        <w:t xml:space="preserve"> by at least two business days’ notice prior to each Time of Delivery, which payment shall constitute a complete discharge of the Settlement Agent’s obligations hereunder and fully discharge any payment obligations of such International Underwriter</w:t>
      </w:r>
      <w:r w:rsidRPr="009A09FD" w:rsidR="009B46B6">
        <w:rPr>
          <w:snapToGrid w:val="0"/>
        </w:rPr>
        <w:t>,</w:t>
      </w:r>
      <w:r w:rsidRPr="009A09FD">
        <w:rPr>
          <w:snapToGrid w:val="0"/>
        </w:rPr>
        <w:t xml:space="preserve">  the </w:t>
      </w:r>
      <w:r w:rsidRPr="009A09FD" w:rsidR="00F324BA">
        <w:rPr>
          <w:snapToGrid w:val="0"/>
        </w:rPr>
        <w:t>Overall Coordinator</w:t>
      </w:r>
      <w:r w:rsidRPr="009A09FD" w:rsidR="00E22901">
        <w:rPr>
          <w:snapToGrid w:val="0"/>
        </w:rPr>
        <w:t>s</w:t>
      </w:r>
      <w:r w:rsidRPr="009A09FD" w:rsidR="009B46B6">
        <w:rPr>
          <w:snapToGrid w:val="0"/>
        </w:rPr>
        <w:t xml:space="preserve"> and the Joint Global Coordinators</w:t>
      </w:r>
      <w:r w:rsidRPr="009A09FD" w:rsidR="00E22901">
        <w:rPr>
          <w:snapToGrid w:val="0"/>
        </w:rPr>
        <w:t xml:space="preserve"> </w:t>
      </w:r>
      <w:r w:rsidRPr="009A09FD">
        <w:rPr>
          <w:snapToGrid w:val="0"/>
        </w:rPr>
        <w:t xml:space="preserve">to the Company in respect of the purchase of the International Offer Shares by such International Underwriter hereunder.  The Company will cause the certificates representing the International Offer Shares to be made available for checking with respect thereto at the office of </w:t>
      </w:r>
      <w:r w:rsidRPr="009A09FD" w:rsidR="00A2252B">
        <w:rPr>
          <w:b/>
          <w:bCs/>
          <w:snapToGrid w:val="0"/>
        </w:rPr>
        <w:t>[</w:t>
      </w:r>
      <w:r w:rsidRPr="009A09FD" w:rsidR="00B93695">
        <w:rPr>
          <w:b/>
          <w:bCs/>
          <w:snapToGrid w:val="0"/>
        </w:rPr>
        <w:t>I</w:t>
      </w:r>
      <w:r w:rsidRPr="009A09FD" w:rsidR="00A2252B">
        <w:rPr>
          <w:b/>
          <w:bCs/>
          <w:snapToGrid w:val="0"/>
        </w:rPr>
        <w:t>nsert name of Hong Kong share registrar]</w:t>
      </w:r>
      <w:r w:rsidRPr="009A09FD">
        <w:rPr>
          <w:snapToGrid w:val="0"/>
        </w:rPr>
        <w:t xml:space="preserve"> at least one business day prior to each Time of Delivery</w:t>
      </w:r>
      <w:bookmarkEnd w:id="46"/>
      <w:r w:rsidRPr="009A09FD">
        <w:rPr>
          <w:snapToGrid w:val="0"/>
        </w:rPr>
        <w:t xml:space="preserve">.  For the avoidance of doubt, </w:t>
      </w:r>
      <w:r w:rsidRPr="009A09FD" w:rsidR="00735044">
        <w:rPr>
          <w:snapToGrid w:val="0"/>
        </w:rPr>
        <w:t xml:space="preserve">the Settlement Agent </w:t>
      </w:r>
      <w:r w:rsidRPr="009A09FD">
        <w:rPr>
          <w:snapToGrid w:val="0"/>
        </w:rPr>
        <w:t xml:space="preserve">shall </w:t>
      </w:r>
      <w:r w:rsidRPr="009A09FD" w:rsidR="00735044">
        <w:rPr>
          <w:snapToGrid w:val="0"/>
        </w:rPr>
        <w:t xml:space="preserve">not </w:t>
      </w:r>
      <w:r w:rsidRPr="009A09FD">
        <w:rPr>
          <w:snapToGrid w:val="0"/>
        </w:rPr>
        <w:t>be liable for any failure on the part of the other International Underwriters to perform their obligations under this Agreement or other agreements related to the Global Offering, including but not limited to collecting funds from subsequent purchasers.</w:t>
      </w:r>
    </w:p>
    <w:p w:rsidR="001C5107" w:rsidRPr="009A09FD" w:rsidP="003C6CDA" w14:paraId="2361E8EF" w14:textId="5F9C7572">
      <w:pPr>
        <w:pStyle w:val="Heading3"/>
        <w:rPr>
          <w:snapToGrid w:val="0"/>
        </w:rPr>
      </w:pPr>
      <w:bookmarkStart w:id="48" w:name="_Ref367265581"/>
      <w:r w:rsidRPr="009A09FD">
        <w:rPr>
          <w:snapToGrid w:val="0"/>
        </w:rPr>
        <w:t xml:space="preserve">It is understood and agreed by the parties hereto that no delivery of International Offer Shares to be sold and purchased hereunder at a Time of Delivery shall be effective unless and until payment therefor has been made pursuant hereto and each of HKSCC and the Company shall have furnished or caused to be furnished to the </w:t>
      </w:r>
      <w:r w:rsidRPr="009A09FD" w:rsidR="00B66AB1">
        <w:rPr>
          <w:snapToGrid w:val="0"/>
        </w:rPr>
        <w:t>Overall Coordinators</w:t>
      </w:r>
      <w:r w:rsidRPr="009A09FD">
        <w:rPr>
          <w:snapToGrid w:val="0"/>
        </w:rPr>
        <w:t>, on behalf of the International Underwriters</w:t>
      </w:r>
      <w:r w:rsidRPr="009A09FD" w:rsidR="001703C5">
        <w:rPr>
          <w:snapToGrid w:val="0"/>
        </w:rPr>
        <w:t xml:space="preserve"> and their respective Affiliates</w:t>
      </w:r>
      <w:r w:rsidRPr="009A09FD">
        <w:rPr>
          <w:snapToGrid w:val="0"/>
        </w:rPr>
        <w:t xml:space="preserve">, at such Time of Delivery, certificates and other evidence satisfactory to the </w:t>
      </w:r>
      <w:r w:rsidRPr="009A09FD" w:rsidR="00A65351">
        <w:rPr>
          <w:snapToGrid w:val="0"/>
        </w:rPr>
        <w:t>Overall Coordinators</w:t>
      </w:r>
      <w:r w:rsidRPr="009A09FD">
        <w:rPr>
          <w:snapToGrid w:val="0"/>
        </w:rPr>
        <w:t xml:space="preserve"> of the issue and delivery of the International Offer Shares.</w:t>
      </w:r>
      <w:bookmarkEnd w:id="48"/>
    </w:p>
    <w:p w:rsidR="001F0BF8" w:rsidRPr="009A09FD" w:rsidP="003C6CDA" w14:paraId="40912786" w14:textId="0233CD7B">
      <w:pPr>
        <w:pStyle w:val="Heading3"/>
        <w:rPr>
          <w:snapToGrid w:val="0"/>
        </w:rPr>
      </w:pPr>
      <w:bookmarkStart w:id="49" w:name="_Ref367265582"/>
      <w:bookmarkStart w:id="50" w:name="_Hlk182591773"/>
      <w:r w:rsidRPr="009A09FD">
        <w:rPr>
          <w:snapToGrid w:val="0"/>
        </w:rPr>
        <w:t xml:space="preserve">At each Time of Delivery, the </w:t>
      </w:r>
      <w:r w:rsidRPr="009A09FD" w:rsidR="0045566B">
        <w:rPr>
          <w:snapToGrid w:val="0"/>
        </w:rPr>
        <w:t xml:space="preserve">Settlement Agent shall be entitled to deduct, on behalf of the </w:t>
      </w:r>
      <w:r w:rsidRPr="009A09FD" w:rsidR="0042161B">
        <w:rPr>
          <w:snapToGrid w:val="0"/>
        </w:rPr>
        <w:t>Overall Coordinators</w:t>
      </w:r>
      <w:r w:rsidRPr="009A09FD" w:rsidR="0045566B">
        <w:rPr>
          <w:snapToGrid w:val="0"/>
        </w:rPr>
        <w:t>, the Joint Global Coordinators, the Joint Bookrunners, the Joint Lead Managers and the International Underwriters</w:t>
      </w:r>
      <w:r w:rsidRPr="009A09FD" w:rsidR="006945E9">
        <w:rPr>
          <w:snapToGrid w:val="0"/>
        </w:rPr>
        <w:t xml:space="preserve"> and their respective Affiliates</w:t>
      </w:r>
      <w:r w:rsidRPr="009A09FD" w:rsidR="0045566B">
        <w:rPr>
          <w:snapToGrid w:val="0"/>
        </w:rPr>
        <w:t xml:space="preserve">, from the amounts payable to the Company hereunder at such Time of Delivery </w:t>
      </w:r>
      <w:bookmarkStart w:id="51" w:name="DocXTextRef22"/>
      <w:r w:rsidRPr="009A09FD" w:rsidR="0045566B">
        <w:rPr>
          <w:snapToGrid w:val="0"/>
        </w:rPr>
        <w:t>(A)</w:t>
      </w:r>
      <w:bookmarkEnd w:id="51"/>
      <w:r w:rsidRPr="009A09FD" w:rsidR="0045566B">
        <w:rPr>
          <w:snapToGrid w:val="0"/>
        </w:rPr>
        <w:t xml:space="preserve"> the gross commission</w:t>
      </w:r>
      <w:r w:rsidRPr="009A09FD" w:rsidR="0045566B">
        <w:rPr>
          <w:rFonts w:hint="eastAsia"/>
          <w:snapToGrid w:val="0"/>
        </w:rPr>
        <w:t xml:space="preserve"> and the in</w:t>
      </w:r>
      <w:r w:rsidRPr="009A09FD" w:rsidR="0045566B">
        <w:rPr>
          <w:snapToGrid w:val="0"/>
        </w:rPr>
        <w:t>c</w:t>
      </w:r>
      <w:r w:rsidRPr="009A09FD" w:rsidR="0045566B">
        <w:rPr>
          <w:rFonts w:hint="eastAsia"/>
          <w:snapToGrid w:val="0"/>
        </w:rPr>
        <w:t>entive fee</w:t>
      </w:r>
      <w:r w:rsidRPr="009A09FD" w:rsidR="0045566B">
        <w:rPr>
          <w:snapToGrid w:val="0"/>
        </w:rPr>
        <w:t xml:space="preserve"> payable to the International Underwriters, pursuant to </w:t>
      </w:r>
      <w:bookmarkStart w:id="52" w:name="DocXTextRef26"/>
      <w:r w:rsidRPr="009A09FD" w:rsidR="0045566B">
        <w:rPr>
          <w:snapToGrid w:val="0"/>
        </w:rPr>
        <w:t xml:space="preserve">Section </w:t>
      </w:r>
      <w:bookmarkEnd w:id="52"/>
      <w:r w:rsidRPr="009A09FD" w:rsidR="0045566B">
        <w:rPr>
          <w:snapToGrid w:val="0"/>
        </w:rPr>
        <w:fldChar w:fldCharType="begin"/>
      </w:r>
      <w:r w:rsidRPr="009A09FD" w:rsidR="0045566B">
        <w:rPr>
          <w:snapToGrid w:val="0"/>
        </w:rPr>
        <w:instrText xml:space="preserve"> REF _Ref517407421 \n \h </w:instrText>
      </w:r>
      <w:r w:rsidRPr="009A09FD" w:rsidR="00A469A2">
        <w:rPr>
          <w:snapToGrid w:val="0"/>
        </w:rPr>
        <w:instrText xml:space="preserve"> \* MERGEFORMAT </w:instrText>
      </w:r>
      <w:r w:rsidRPr="009A09FD" w:rsidR="0045566B">
        <w:rPr>
          <w:snapToGrid w:val="0"/>
        </w:rPr>
        <w:fldChar w:fldCharType="separate"/>
      </w:r>
      <w:r w:rsidRPr="009A09FD" w:rsidR="00ED2E07">
        <w:rPr>
          <w:snapToGrid w:val="0"/>
        </w:rPr>
        <w:t>1</w:t>
      </w:r>
      <w:r w:rsidRPr="009A09FD" w:rsidR="0045566B">
        <w:rPr>
          <w:snapToGrid w:val="0"/>
        </w:rPr>
        <w:fldChar w:fldCharType="end"/>
      </w:r>
      <w:r w:rsidRPr="009A09FD" w:rsidR="0045566B">
        <w:rPr>
          <w:snapToGrid w:val="0"/>
        </w:rPr>
        <w:t xml:space="preserve"> hereof, </w:t>
      </w:r>
      <w:bookmarkStart w:id="53" w:name="DocXTextRef23"/>
      <w:r w:rsidRPr="009A09FD" w:rsidR="0045566B">
        <w:rPr>
          <w:snapToGrid w:val="0"/>
        </w:rPr>
        <w:t>(B)</w:t>
      </w:r>
      <w:bookmarkEnd w:id="53"/>
      <w:r w:rsidRPr="009A09FD" w:rsidR="0045566B">
        <w:rPr>
          <w:snapToGrid w:val="0"/>
        </w:rPr>
        <w:t xml:space="preserve"> the aggregate amounts of the Trading Fee</w:t>
      </w:r>
      <w:r w:rsidRPr="009A09FD" w:rsidR="00E27112">
        <w:rPr>
          <w:snapToGrid w:val="0"/>
        </w:rPr>
        <w:t>,</w:t>
      </w:r>
      <w:r w:rsidRPr="009A09FD" w:rsidR="0045566B">
        <w:rPr>
          <w:snapToGrid w:val="0"/>
        </w:rPr>
        <w:t xml:space="preserve"> </w:t>
      </w:r>
      <w:r w:rsidRPr="009A09FD" w:rsidR="00E27112">
        <w:rPr>
          <w:snapToGrid w:val="0"/>
        </w:rPr>
        <w:t xml:space="preserve">the SFC Transaction Levy and the AFRC Transaction Levy </w:t>
      </w:r>
      <w:r w:rsidRPr="009A09FD" w:rsidR="0045566B">
        <w:rPr>
          <w:snapToGrid w:val="0"/>
        </w:rPr>
        <w:t>payable by the Company, on the one hand, and purchasers of the International Offer Shares on the other hand (including any Unsold Shares reallocated to the International Offering)</w:t>
      </w:r>
      <w:r w:rsidRPr="009A09FD" w:rsidR="0045566B">
        <w:rPr>
          <w:rFonts w:hint="eastAsia"/>
          <w:snapToGrid w:val="0"/>
        </w:rPr>
        <w:t>,</w:t>
      </w:r>
      <w:r w:rsidRPr="009A09FD">
        <w:rPr>
          <w:snapToGrid w:val="0"/>
        </w:rPr>
        <w:t xml:space="preserve"> which the </w:t>
      </w:r>
      <w:r w:rsidRPr="009A09FD" w:rsidR="0045566B">
        <w:rPr>
          <w:snapToGrid w:val="0"/>
        </w:rPr>
        <w:t>Settlement Agent will pay to the Stock Exchange and the SFC, as applicable, on behalf of the Company,</w:t>
      </w:r>
      <w:r w:rsidRPr="009A09FD" w:rsidR="00CA4229">
        <w:rPr>
          <w:snapToGrid w:val="0"/>
        </w:rPr>
        <w:t xml:space="preserve"> </w:t>
      </w:r>
      <w:bookmarkStart w:id="54" w:name="DocXTextRef24"/>
      <w:r w:rsidRPr="009A09FD" w:rsidR="0045566B">
        <w:rPr>
          <w:snapToGrid w:val="0"/>
        </w:rPr>
        <w:t>(C)</w:t>
      </w:r>
      <w:bookmarkEnd w:id="54"/>
      <w:r w:rsidRPr="009A09FD" w:rsidR="0045566B">
        <w:rPr>
          <w:snapToGrid w:val="0"/>
        </w:rPr>
        <w:t xml:space="preserve"> the aggregate amount of the Brokerage payable by purchasers of the International Offer Shares (including any Unsold Shares reallocated to the International Offering), which the Company hereby acknowledges and agrees that the International Underwriters will be entitled to retain for their account</w:t>
      </w:r>
      <w:r w:rsidRPr="009A09FD" w:rsidR="00E80F70">
        <w:rPr>
          <w:snapToGrid w:val="0"/>
        </w:rPr>
        <w:t>, (D) all stamp duty, if any, and (E) the amounts payable by the Company pursuant to Section [5] hereof</w:t>
      </w:r>
      <w:r w:rsidRPr="009A09FD" w:rsidR="00CA4229">
        <w:rPr>
          <w:snapToGrid w:val="0"/>
        </w:rPr>
        <w:t>.</w:t>
      </w:r>
      <w:r w:rsidRPr="009A09FD" w:rsidR="0045566B">
        <w:rPr>
          <w:snapToGrid w:val="0"/>
        </w:rPr>
        <w:t xml:space="preserve"> To the extent that the amounts deducted at any Time of Delivery from the amounts payable to the Company hereunder are insufficient to cover the amounts payable to the Settlement Agent, the </w:t>
      </w:r>
      <w:r w:rsidRPr="009A09FD" w:rsidR="00C52B08">
        <w:rPr>
          <w:snapToGrid w:val="0"/>
        </w:rPr>
        <w:t>Overall Coordinators</w:t>
      </w:r>
      <w:r w:rsidRPr="009A09FD" w:rsidR="0045566B">
        <w:rPr>
          <w:snapToGrid w:val="0"/>
        </w:rPr>
        <w:t>, the Joint Global Coordinators, the Joint Bookrunners, the Joint Lead Managers and the International Underwriters hereunder</w:t>
      </w:r>
      <w:r w:rsidRPr="009A09FD" w:rsidR="00CA4229">
        <w:rPr>
          <w:snapToGrid w:val="0"/>
        </w:rPr>
        <w:t xml:space="preserve"> or other relevant parties, </w:t>
      </w:r>
      <w:r w:rsidRPr="009A09FD" w:rsidR="00CA4229">
        <w:rPr>
          <w:rFonts w:hint="eastAsia"/>
          <w:snapToGrid w:val="0"/>
        </w:rPr>
        <w:t>as</w:t>
      </w:r>
      <w:r w:rsidRPr="009A09FD" w:rsidR="00CA4229">
        <w:rPr>
          <w:snapToGrid w:val="0"/>
        </w:rPr>
        <w:t xml:space="preserve"> applicable</w:t>
      </w:r>
      <w:r w:rsidRPr="009A09FD" w:rsidR="0045566B">
        <w:rPr>
          <w:snapToGrid w:val="0"/>
        </w:rPr>
        <w:t>, the Company shall pay</w:t>
      </w:r>
      <w:r w:rsidRPr="009A09FD" w:rsidR="00CA4229">
        <w:rPr>
          <w:snapToGrid w:val="0"/>
        </w:rPr>
        <w:t xml:space="preserve"> or cause to be paid</w:t>
      </w:r>
      <w:r w:rsidRPr="009A09FD" w:rsidR="0045566B">
        <w:rPr>
          <w:snapToGrid w:val="0"/>
        </w:rPr>
        <w:t xml:space="preserve"> in full the shortfall </w:t>
      </w:r>
      <w:r w:rsidRPr="009A09FD" w:rsidR="00117242">
        <w:rPr>
          <w:snapToGrid w:val="0"/>
        </w:rPr>
        <w:t>at such Time of Delivery or forthwith upon demand by the relevant party to which the amount is payable by the Company.</w:t>
      </w:r>
      <w:bookmarkEnd w:id="49"/>
    </w:p>
    <w:p w:rsidR="001C5107" w:rsidRPr="009A09FD" w:rsidP="003C6CDA" w14:paraId="5B62AA82" w14:textId="052CE309">
      <w:pPr>
        <w:pStyle w:val="Heading3"/>
        <w:rPr>
          <w:snapToGrid w:val="0"/>
        </w:rPr>
      </w:pPr>
      <w:bookmarkStart w:id="55" w:name="_Ref367265583"/>
      <w:bookmarkEnd w:id="50"/>
      <w:r w:rsidRPr="009A09FD">
        <w:rPr>
          <w:snapToGrid w:val="0"/>
        </w:rPr>
        <w:t>At each Time of Delivery or forthwith upon demand</w:t>
      </w:r>
      <w:r w:rsidRPr="009A09FD" w:rsidR="0045566B">
        <w:rPr>
          <w:snapToGrid w:val="0"/>
        </w:rPr>
        <w:t xml:space="preserve">, to the extent that any amounts payable by the Company to the Settlement Agent, the </w:t>
      </w:r>
      <w:r w:rsidRPr="009A09FD" w:rsidR="00CD5FCC">
        <w:rPr>
          <w:snapToGrid w:val="0"/>
        </w:rPr>
        <w:t>Overall Coordinators</w:t>
      </w:r>
      <w:r w:rsidRPr="009A09FD" w:rsidR="0045566B">
        <w:rPr>
          <w:snapToGrid w:val="0"/>
        </w:rPr>
        <w:t>, the Joint Global Coordinators, the Joint Bookrunners</w:t>
      </w:r>
      <w:r w:rsidRPr="009A09FD" w:rsidR="00B21F36">
        <w:rPr>
          <w:snapToGrid w:val="0"/>
        </w:rPr>
        <w:t>, the Joint Lead Managers</w:t>
      </w:r>
      <w:r w:rsidRPr="009A09FD" w:rsidR="004C0D69">
        <w:rPr>
          <w:snapToGrid w:val="0"/>
        </w:rPr>
        <w:t>, the CMIs</w:t>
      </w:r>
      <w:r w:rsidRPr="009A09FD" w:rsidR="0045566B">
        <w:rPr>
          <w:snapToGrid w:val="0"/>
        </w:rPr>
        <w:t xml:space="preserve"> or the International Underwriters</w:t>
      </w:r>
      <w:r w:rsidRPr="009A09FD" w:rsidR="00C73DD6">
        <w:rPr>
          <w:snapToGrid w:val="0"/>
        </w:rPr>
        <w:t xml:space="preserve"> or the relevant parties</w:t>
      </w:r>
      <w:r w:rsidRPr="009A09FD" w:rsidR="0045566B">
        <w:rPr>
          <w:snapToGrid w:val="0"/>
        </w:rPr>
        <w:t xml:space="preserve"> hereunder</w:t>
      </w:r>
      <w:r w:rsidRPr="009A09FD" w:rsidR="00B21F36">
        <w:rPr>
          <w:snapToGrid w:val="0"/>
        </w:rPr>
        <w:t>, as applicable,</w:t>
      </w:r>
      <w:r w:rsidRPr="009A09FD" w:rsidR="0045566B">
        <w:rPr>
          <w:snapToGrid w:val="0"/>
        </w:rPr>
        <w:t xml:space="preserve"> are not or will not be deducted at such Time of Delivery from the amounts payable to the Company hereunder, the Company shall pay, or cause to be paid, in full such </w:t>
      </w:r>
      <w:r w:rsidRPr="009A09FD" w:rsidR="0053254E">
        <w:rPr>
          <w:snapToGrid w:val="0"/>
        </w:rPr>
        <w:t>amounts to the Settlement Agent</w:t>
      </w:r>
      <w:r w:rsidRPr="009A09FD" w:rsidR="0045566B">
        <w:rPr>
          <w:snapToGrid w:val="0"/>
        </w:rPr>
        <w:t xml:space="preserve"> and the </w:t>
      </w:r>
      <w:r w:rsidRPr="009A09FD" w:rsidR="00CD5FCC">
        <w:rPr>
          <w:snapToGrid w:val="0"/>
        </w:rPr>
        <w:t>Overall Coordinators</w:t>
      </w:r>
      <w:r w:rsidRPr="009A09FD" w:rsidR="0045566B">
        <w:rPr>
          <w:snapToGrid w:val="0"/>
        </w:rPr>
        <w:t>, for themselves or on behalf of the Joint Global Coordinators, the Joint Bookrunners, the Joint Lead Managers</w:t>
      </w:r>
      <w:r w:rsidRPr="009A09FD" w:rsidR="0023114D">
        <w:rPr>
          <w:snapToGrid w:val="0"/>
        </w:rPr>
        <w:t>, the CMIs</w:t>
      </w:r>
      <w:r w:rsidRPr="009A09FD" w:rsidR="0045566B">
        <w:rPr>
          <w:snapToGrid w:val="0"/>
        </w:rPr>
        <w:t xml:space="preserve"> and the International Underwriters or to the relevant party to which the amount is payable by the Company, by wire transfer in Hong Kong dollars in immediately available funds to such account or accounts specified by the Settlement Agent, the </w:t>
      </w:r>
      <w:r w:rsidRPr="009A09FD" w:rsidR="00CD5FCC">
        <w:rPr>
          <w:snapToGrid w:val="0"/>
        </w:rPr>
        <w:t>Overall Coordinators</w:t>
      </w:r>
      <w:r w:rsidRPr="009A09FD" w:rsidR="00C160F9">
        <w:rPr>
          <w:snapToGrid w:val="0"/>
        </w:rPr>
        <w:t>, the Joint Global Coordinator</w:t>
      </w:r>
      <w:r w:rsidRPr="009A09FD" w:rsidR="00CD5FCC">
        <w:rPr>
          <w:snapToGrid w:val="0"/>
        </w:rPr>
        <w:t xml:space="preserve"> </w:t>
      </w:r>
      <w:r w:rsidRPr="009A09FD" w:rsidR="0045566B">
        <w:rPr>
          <w:snapToGrid w:val="0"/>
        </w:rPr>
        <w:t>or such relevant party.</w:t>
      </w:r>
      <w:bookmarkEnd w:id="55"/>
    </w:p>
    <w:p w:rsidR="00D63C91" w:rsidRPr="009A09FD" w:rsidP="003C6CDA" w14:paraId="7F8A43DD" w14:textId="56DE77C3">
      <w:pPr>
        <w:pStyle w:val="Heading3"/>
        <w:rPr>
          <w:snapToGrid w:val="0"/>
        </w:rPr>
      </w:pPr>
      <w:bookmarkStart w:id="56" w:name="_Ref367265584"/>
      <w:r w:rsidRPr="009A09FD">
        <w:t xml:space="preserve">[The Company will notify the Overall Coordinators, the Joint Global Coordinators and the International Underwriters in writing of the amount of the incentive fee payable pursuant to Section 1(c) of this Agreement, if any, and the allocation of </w:t>
      </w:r>
      <w:r w:rsidRPr="009A09FD" w:rsidR="00116614">
        <w:t>the</w:t>
      </w:r>
      <w:r w:rsidRPr="009A09FD">
        <w:t xml:space="preserve"> incentive fee payable to the Overall Coordinators, the Joint Global Coordinators and the International Underwriters </w:t>
      </w:r>
      <w:r w:rsidRPr="009A09FD" w:rsidR="00F94A50">
        <w:t>on or before the First Time of Delivery and each Additional Time of Delivery (in relation to the Over-allotment Option Shares)</w:t>
      </w:r>
      <w:r w:rsidRPr="009A09FD">
        <w:t xml:space="preserve">.  For the avoidance of doubt, </w:t>
      </w:r>
      <w:r w:rsidRPr="009A09FD" w:rsidR="00F94A50">
        <w:t xml:space="preserve">given </w:t>
      </w:r>
      <w:r w:rsidRPr="009A09FD">
        <w:t xml:space="preserve">the entitlements to the incentive fee of the International Underwriters </w:t>
      </w:r>
      <w:r w:rsidRPr="009A09FD" w:rsidR="00F94A50">
        <w:t xml:space="preserve">have been </w:t>
      </w:r>
      <w:r w:rsidRPr="009A09FD">
        <w:t>determined on or before the First Time of Delivery</w:t>
      </w:r>
      <w:r w:rsidRPr="009A09FD" w:rsidR="00F94A50">
        <w:t xml:space="preserve"> and each Additional Time of Delivery (in relation to the Over-allotment Option Shares)</w:t>
      </w:r>
      <w:r w:rsidRPr="009A09FD">
        <w:t xml:space="preserve">, the incentive fee with respect to the Offer Shares (including any Reallocated Shares reallocated to the Hong Kong Public Offering, any Unsold Shares reallocated to the International Offering and the Over-allotment Option Shares) shall be deducted from the proceeds so payable to the Company at each </w:t>
      </w:r>
      <w:r w:rsidRPr="009A09FD" w:rsidR="00F94A50">
        <w:t xml:space="preserve">respective </w:t>
      </w:r>
      <w:r w:rsidRPr="009A09FD">
        <w:t>Time of Delivery.]</w:t>
      </w:r>
      <w:r>
        <w:rPr>
          <w:rStyle w:val="FootnoteReference"/>
        </w:rPr>
        <w:footnoteReference w:id="15"/>
      </w:r>
      <w:r w:rsidRPr="009A09FD">
        <w:t xml:space="preserve"> </w:t>
      </w:r>
      <w:r w:rsidRPr="009A09FD">
        <w:rPr>
          <w:snapToGrid w:val="0"/>
        </w:rPr>
        <w:t xml:space="preserve"> </w:t>
      </w:r>
    </w:p>
    <w:p w:rsidR="001C5107" w:rsidRPr="009A09FD" w:rsidP="003C6CDA" w14:paraId="73342A3F" w14:textId="7D87E731">
      <w:pPr>
        <w:pStyle w:val="Heading3"/>
        <w:rPr>
          <w:snapToGrid w:val="0"/>
        </w:rPr>
      </w:pPr>
      <w:r w:rsidRPr="009A09FD">
        <w:rPr>
          <w:snapToGrid w:val="0"/>
        </w:rPr>
        <w:t xml:space="preserve">The deliveries of the documents described in </w:t>
      </w:r>
      <w:bookmarkStart w:id="57" w:name="DocXTextRef32"/>
      <w:r w:rsidRPr="009A09FD">
        <w:rPr>
          <w:snapToGrid w:val="0"/>
        </w:rPr>
        <w:t xml:space="preserve">Section </w:t>
      </w:r>
      <w:bookmarkEnd w:id="57"/>
      <w:r w:rsidRPr="009A09FD">
        <w:rPr>
          <w:snapToGrid w:val="0"/>
        </w:rPr>
        <w:fldChar w:fldCharType="begin"/>
      </w:r>
      <w:r w:rsidRPr="009A09FD">
        <w:rPr>
          <w:snapToGrid w:val="0"/>
        </w:rPr>
        <w:instrText xml:space="preserve"> REF _Ref517407438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8</w:t>
      </w:r>
      <w:r w:rsidRPr="009A09FD">
        <w:rPr>
          <w:snapToGrid w:val="0"/>
        </w:rPr>
        <w:fldChar w:fldCharType="end"/>
      </w:r>
      <w:r w:rsidRPr="009A09FD">
        <w:rPr>
          <w:snapToGrid w:val="0"/>
        </w:rPr>
        <w:t xml:space="preserve"> hereof shall be made </w:t>
      </w:r>
      <w:bookmarkStart w:id="58" w:name="DocXTextRef30"/>
      <w:r w:rsidRPr="009A09FD">
        <w:rPr>
          <w:snapToGrid w:val="0"/>
        </w:rPr>
        <w:t>(A)</w:t>
      </w:r>
      <w:bookmarkEnd w:id="58"/>
      <w:r w:rsidRPr="009A09FD">
        <w:rPr>
          <w:snapToGrid w:val="0"/>
        </w:rPr>
        <w:t xml:space="preserve"> with respect to the Firm Shares, at or prior to the First Time of Delivery, and </w:t>
      </w:r>
      <w:bookmarkStart w:id="59" w:name="DocXTextRef31"/>
      <w:r w:rsidRPr="009A09FD">
        <w:rPr>
          <w:snapToGrid w:val="0"/>
        </w:rPr>
        <w:t>(B)</w:t>
      </w:r>
      <w:bookmarkEnd w:id="59"/>
      <w:r w:rsidRPr="009A09FD">
        <w:rPr>
          <w:snapToGrid w:val="0"/>
        </w:rPr>
        <w:t xml:space="preserve"> with respect to the Over-allotment Option Shares as to which the Over-allotment Option has been exercised, at </w:t>
      </w:r>
      <w:r w:rsidRPr="009A09FD">
        <w:rPr>
          <w:rFonts w:hint="eastAsia"/>
          <w:snapToGrid w:val="0"/>
        </w:rPr>
        <w:t xml:space="preserve">or prior to </w:t>
      </w:r>
      <w:r w:rsidRPr="009A09FD">
        <w:rPr>
          <w:snapToGrid w:val="0"/>
        </w:rPr>
        <w:t xml:space="preserve">the Additional Time of Delivery of such Over-allotment Option Shares, in each case at the offices of </w:t>
      </w:r>
      <w:r w:rsidRPr="009A09FD" w:rsidR="00EE7521">
        <w:rPr>
          <w:b/>
          <w:bCs/>
          <w:snapToGrid w:val="0"/>
        </w:rPr>
        <w:t>[</w:t>
      </w:r>
      <w:r w:rsidRPr="009A09FD" w:rsidR="00B93695">
        <w:rPr>
          <w:b/>
          <w:bCs/>
          <w:snapToGrid w:val="0"/>
        </w:rPr>
        <w:t>I</w:t>
      </w:r>
      <w:r w:rsidRPr="009A09FD" w:rsidR="00EE7521">
        <w:rPr>
          <w:b/>
          <w:bCs/>
          <w:snapToGrid w:val="0"/>
        </w:rPr>
        <w:t>nsert name of the law firm]</w:t>
      </w:r>
      <w:r w:rsidRPr="009A09FD">
        <w:rPr>
          <w:snapToGrid w:val="0"/>
        </w:rPr>
        <w:t xml:space="preserve">, </w:t>
      </w:r>
      <w:r w:rsidRPr="009A09FD" w:rsidR="00EE7521">
        <w:rPr>
          <w:b/>
          <w:bCs/>
          <w:snapToGrid w:val="0"/>
        </w:rPr>
        <w:t>[</w:t>
      </w:r>
      <w:r w:rsidRPr="009A09FD" w:rsidR="00B93695">
        <w:rPr>
          <w:b/>
          <w:bCs/>
          <w:snapToGrid w:val="0"/>
        </w:rPr>
        <w:t>I</w:t>
      </w:r>
      <w:r w:rsidRPr="009A09FD" w:rsidR="00EE7521">
        <w:rPr>
          <w:b/>
          <w:bCs/>
          <w:snapToGrid w:val="0"/>
        </w:rPr>
        <w:t>nsert address of such law firm]</w:t>
      </w:r>
      <w:r w:rsidRPr="009A09FD">
        <w:rPr>
          <w:snapToGrid w:val="0"/>
        </w:rPr>
        <w:t xml:space="preserve"> (the “</w:t>
      </w:r>
      <w:r w:rsidRPr="009A09FD">
        <w:rPr>
          <w:b/>
          <w:snapToGrid w:val="0"/>
        </w:rPr>
        <w:t>Closing Location</w:t>
      </w:r>
      <w:r w:rsidRPr="009A09FD">
        <w:rPr>
          <w:snapToGrid w:val="0"/>
        </w:rPr>
        <w:t xml:space="preserve">”).  A meeting will be held at the Closing Location at </w:t>
      </w:r>
      <w:r w:rsidRPr="009A09FD" w:rsidR="005010B1">
        <w:rPr>
          <w:snapToGrid w:val="0"/>
        </w:rPr>
        <w:t>[</w:t>
      </w:r>
      <w:r w:rsidRPr="009A09FD" w:rsidR="0018729B">
        <w:rPr>
          <w:snapToGrid w:val="0"/>
        </w:rPr>
        <w:t>8</w:t>
      </w:r>
      <w:r w:rsidRPr="009A09FD" w:rsidR="005010B1">
        <w:rPr>
          <w:snapToGrid w:val="0"/>
        </w:rPr>
        <w:t>:00</w:t>
      </w:r>
      <w:r w:rsidRPr="009A09FD">
        <w:rPr>
          <w:rFonts w:hint="eastAsia"/>
          <w:snapToGrid w:val="0"/>
        </w:rPr>
        <w:t xml:space="preserve"> p.m.</w:t>
      </w:r>
      <w:r w:rsidRPr="009A09FD" w:rsidR="005010B1">
        <w:rPr>
          <w:snapToGrid w:val="0"/>
        </w:rPr>
        <w:t>]</w:t>
      </w:r>
      <w:r w:rsidRPr="009A09FD">
        <w:rPr>
          <w:snapToGrid w:val="0"/>
        </w:rPr>
        <w:t>, Hong Kong time, on the business day immediately preceding the relevant Time of Delivery, at which meeting the final drafts of the documents to be delivered pursuant to the preceding sentence will be available for review by the parties hereto and their respective counsel.</w:t>
      </w:r>
      <w:bookmarkEnd w:id="56"/>
    </w:p>
    <w:p w:rsidR="001C5107" w:rsidRPr="009A09FD" w:rsidP="003C6CDA" w14:paraId="334597BE" w14:textId="35C8571B">
      <w:pPr>
        <w:pStyle w:val="Heading1"/>
        <w:rPr>
          <w:snapToGrid w:val="0"/>
        </w:rPr>
      </w:pPr>
      <w:bookmarkStart w:id="60" w:name="_Ref367265585"/>
      <w:bookmarkStart w:id="61" w:name="_Toc517409035"/>
      <w:bookmarkStart w:id="62" w:name="_Toc72862703"/>
      <w:bookmarkEnd w:id="39"/>
      <w:r w:rsidRPr="009A09FD">
        <w:rPr>
          <w:snapToGrid w:val="0"/>
        </w:rPr>
        <w:t>Representations and Warranties</w:t>
      </w:r>
      <w:bookmarkEnd w:id="60"/>
      <w:bookmarkEnd w:id="61"/>
      <w:bookmarkEnd w:id="62"/>
    </w:p>
    <w:p w:rsidR="001C5107" w:rsidRPr="009A09FD" w:rsidP="003C6CDA" w14:paraId="0FDB1A62" w14:textId="2BF4B408">
      <w:pPr>
        <w:pStyle w:val="Heading3"/>
        <w:rPr>
          <w:snapToGrid w:val="0"/>
        </w:rPr>
      </w:pPr>
      <w:bookmarkStart w:id="63" w:name="_Ref367265586"/>
      <w:r w:rsidRPr="009A09FD">
        <w:rPr>
          <w:rFonts w:hint="eastAsia"/>
          <w:snapToGrid w:val="0"/>
        </w:rPr>
        <w:t>Each of the Warrantors,</w:t>
      </w:r>
      <w:r w:rsidRPr="009A09FD">
        <w:rPr>
          <w:snapToGrid w:val="0"/>
        </w:rPr>
        <w:t xml:space="preserve"> jointly and severally,</w:t>
      </w:r>
      <w:r w:rsidRPr="009A09FD">
        <w:rPr>
          <w:rFonts w:hint="eastAsia"/>
          <w:snapToGrid w:val="0"/>
        </w:rPr>
        <w:t xml:space="preserve"> </w:t>
      </w:r>
      <w:r w:rsidRPr="009A09FD">
        <w:rPr>
          <w:snapToGrid w:val="0"/>
        </w:rPr>
        <w:t xml:space="preserve">represents and warrants to, and agrees with, each of </w:t>
      </w:r>
      <w:r w:rsidRPr="009A09FD" w:rsidR="00337DC0">
        <w:rPr>
          <w:snapToGrid w:val="0"/>
        </w:rPr>
        <w:t xml:space="preserve">the Joint Sponsors, </w:t>
      </w:r>
      <w:r w:rsidRPr="009A09FD" w:rsidR="00563FDB">
        <w:rPr>
          <w:snapToGrid w:val="0"/>
        </w:rPr>
        <w:t>the Sponsor-OC</w:t>
      </w:r>
      <w:r w:rsidRPr="009A09FD" w:rsidR="00337DC0">
        <w:rPr>
          <w:snapToGrid w:val="0"/>
        </w:rPr>
        <w:t>s</w:t>
      </w:r>
      <w:r w:rsidRPr="009A09FD" w:rsidR="00563FDB">
        <w:rPr>
          <w:snapToGrid w:val="0"/>
        </w:rPr>
        <w:t xml:space="preserve">, </w:t>
      </w:r>
      <w:r w:rsidRPr="009A09FD" w:rsidR="00337DC0">
        <w:rPr>
          <w:snapToGrid w:val="0"/>
        </w:rPr>
        <w:t xml:space="preserve">the Overall Coordinators, </w:t>
      </w:r>
      <w:r w:rsidRPr="009A09FD">
        <w:rPr>
          <w:snapToGrid w:val="0"/>
        </w:rPr>
        <w:t>the Joint Global Coordinators, the Joint Bookrunners, the Joint Lead Managers</w:t>
      </w:r>
      <w:r w:rsidRPr="009A09FD" w:rsidR="001E56C1">
        <w:rPr>
          <w:snapToGrid w:val="0"/>
        </w:rPr>
        <w:t>, the CMIs</w:t>
      </w:r>
      <w:r w:rsidRPr="009A09FD" w:rsidR="00F66CB8">
        <w:rPr>
          <w:snapToGrid w:val="0"/>
        </w:rPr>
        <w:t xml:space="preserve"> </w:t>
      </w:r>
      <w:r w:rsidRPr="009A09FD">
        <w:rPr>
          <w:snapToGrid w:val="0"/>
        </w:rPr>
        <w:t xml:space="preserve">and the International Underwriters the terms set out in </w:t>
      </w:r>
      <w:r w:rsidRPr="009A09FD">
        <w:rPr>
          <w:snapToGrid w:val="0"/>
        </w:rPr>
        <w:fldChar w:fldCharType="begin"/>
      </w:r>
      <w:r w:rsidRPr="009A09FD">
        <w:rPr>
          <w:snapToGrid w:val="0"/>
        </w:rPr>
        <w:instrText xml:space="preserve"> REF _Ref517408050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Part A</w:t>
      </w:r>
      <w:r w:rsidRPr="009A09FD">
        <w:rPr>
          <w:snapToGrid w:val="0"/>
        </w:rPr>
        <w:fldChar w:fldCharType="end"/>
      </w:r>
      <w:r w:rsidRPr="009A09FD">
        <w:rPr>
          <w:snapToGrid w:val="0"/>
        </w:rPr>
        <w:t xml:space="preserve"> of</w:t>
      </w:r>
      <w:r w:rsidRPr="009A09FD" w:rsidR="00111954">
        <w:rPr>
          <w:snapToGrid w:val="0"/>
        </w:rPr>
        <w:t xml:space="preserve"> </w:t>
      </w:r>
      <w:r w:rsidRPr="009A09FD" w:rsidR="00111954">
        <w:rPr>
          <w:snapToGrid w:val="0"/>
        </w:rPr>
        <w:fldChar w:fldCharType="begin"/>
      </w:r>
      <w:r w:rsidRPr="009A09FD" w:rsidR="00111954">
        <w:rPr>
          <w:snapToGrid w:val="0"/>
        </w:rPr>
        <w:instrText xml:space="preserve"> REF _Ref155102112 \n \h </w:instrText>
      </w:r>
      <w:r w:rsidR="009A09FD">
        <w:rPr>
          <w:snapToGrid w:val="0"/>
        </w:rPr>
        <w:instrText xml:space="preserve"> \* MERGEFORMAT </w:instrText>
      </w:r>
      <w:r w:rsidRPr="009A09FD" w:rsidR="00111954">
        <w:rPr>
          <w:snapToGrid w:val="0"/>
        </w:rPr>
        <w:fldChar w:fldCharType="separate"/>
      </w:r>
      <w:r w:rsidRPr="009A09FD" w:rsidR="00ED2E07">
        <w:rPr>
          <w:snapToGrid w:val="0"/>
        </w:rPr>
        <w:t>Schedule V</w:t>
      </w:r>
      <w:r w:rsidRPr="009A09FD" w:rsidR="00111954">
        <w:rPr>
          <w:snapToGrid w:val="0"/>
        </w:rPr>
        <w:fldChar w:fldCharType="end"/>
      </w:r>
      <w:r w:rsidRPr="009A09FD">
        <w:rPr>
          <w:snapToGrid w:val="0"/>
        </w:rPr>
        <w:t xml:space="preserve">.  The representations, warranties, agreements and undertakings in </w:t>
      </w:r>
      <w:r w:rsidRPr="009A09FD">
        <w:rPr>
          <w:snapToGrid w:val="0"/>
        </w:rPr>
        <w:fldChar w:fldCharType="begin"/>
      </w:r>
      <w:r w:rsidRPr="009A09FD">
        <w:rPr>
          <w:snapToGrid w:val="0"/>
        </w:rPr>
        <w:instrText xml:space="preserve"> REF _Ref517408058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Part A</w:t>
      </w:r>
      <w:r w:rsidRPr="009A09FD">
        <w:rPr>
          <w:snapToGrid w:val="0"/>
        </w:rPr>
        <w:fldChar w:fldCharType="end"/>
      </w:r>
      <w:r w:rsidRPr="009A09FD">
        <w:rPr>
          <w:snapToGrid w:val="0"/>
        </w:rPr>
        <w:t xml:space="preserve"> of </w:t>
      </w:r>
      <w:r w:rsidRPr="009A09FD" w:rsidR="00111954">
        <w:rPr>
          <w:snapToGrid w:val="0"/>
        </w:rPr>
        <w:fldChar w:fldCharType="begin"/>
      </w:r>
      <w:r w:rsidRPr="009A09FD" w:rsidR="00111954">
        <w:rPr>
          <w:snapToGrid w:val="0"/>
        </w:rPr>
        <w:instrText xml:space="preserve"> REF _Ref155102112 \n \h </w:instrText>
      </w:r>
      <w:r w:rsidR="009A09FD">
        <w:rPr>
          <w:snapToGrid w:val="0"/>
        </w:rPr>
        <w:instrText xml:space="preserve"> \* MERGEFORMAT </w:instrText>
      </w:r>
      <w:r w:rsidRPr="009A09FD" w:rsidR="00111954">
        <w:rPr>
          <w:snapToGrid w:val="0"/>
        </w:rPr>
        <w:fldChar w:fldCharType="separate"/>
      </w:r>
      <w:r w:rsidRPr="009A09FD" w:rsidR="00ED2E07">
        <w:rPr>
          <w:snapToGrid w:val="0"/>
        </w:rPr>
        <w:t>Schedule V</w:t>
      </w:r>
      <w:r w:rsidRPr="009A09FD" w:rsidR="00111954">
        <w:rPr>
          <w:snapToGrid w:val="0"/>
        </w:rPr>
        <w:fldChar w:fldCharType="end"/>
      </w:r>
      <w:r w:rsidRPr="009A09FD">
        <w:rPr>
          <w:snapToGrid w:val="0"/>
        </w:rPr>
        <w:t xml:space="preserve"> are given on and as at the date of this Agreement with respect to the facts and circumstances subsisting at the date of this Agreement and shall be deemed to be given and repeated on and as at the Time of Sale, the date of any amendment or supplement to the Disclosure Package or the </w:t>
      </w:r>
      <w:r w:rsidRPr="009A09FD" w:rsidR="005F428E">
        <w:rPr>
          <w:snapToGrid w:val="0"/>
        </w:rPr>
        <w:t>Offering Circular</w:t>
      </w:r>
      <w:r w:rsidRPr="009A09FD">
        <w:rPr>
          <w:snapToGrid w:val="0"/>
        </w:rPr>
        <w:t xml:space="preserve"> subsequent to the Time of Sale and each Time of Delivery with reference to the facts and circumstances then subsisting.</w:t>
      </w:r>
      <w:r w:rsidRPr="009A09FD" w:rsidR="00FD0EF3">
        <w:rPr>
          <w:snapToGrid w:val="0"/>
        </w:rPr>
        <w:t xml:space="preserve"> The Company acknowledges that each of the Joint Sponsors, </w:t>
      </w:r>
      <w:r w:rsidRPr="009A09FD" w:rsidR="00D57D2E">
        <w:rPr>
          <w:snapToGrid w:val="0"/>
        </w:rPr>
        <w:t>the Sponsor-OC</w:t>
      </w:r>
      <w:r w:rsidRPr="009A09FD" w:rsidR="00337DC0">
        <w:rPr>
          <w:snapToGrid w:val="0"/>
        </w:rPr>
        <w:t>s</w:t>
      </w:r>
      <w:r w:rsidRPr="009A09FD" w:rsidR="00D57D2E">
        <w:rPr>
          <w:snapToGrid w:val="0"/>
        </w:rPr>
        <w:t xml:space="preserve">, </w:t>
      </w:r>
      <w:r w:rsidRPr="009A09FD" w:rsidR="00CE6E60">
        <w:rPr>
          <w:snapToGrid w:val="0"/>
        </w:rPr>
        <w:t xml:space="preserve">the Overall Coordinators, the </w:t>
      </w:r>
      <w:r w:rsidRPr="009A09FD" w:rsidR="00FD0EF3">
        <w:rPr>
          <w:snapToGrid w:val="0"/>
        </w:rPr>
        <w:t>Joint Global Coordinators, the Joint Bookrunners, the Joint Lead Managers</w:t>
      </w:r>
      <w:r w:rsidRPr="009A09FD" w:rsidR="001E56C1">
        <w:rPr>
          <w:snapToGrid w:val="0"/>
        </w:rPr>
        <w:t>, the CMIs</w:t>
      </w:r>
      <w:r w:rsidRPr="009A09FD" w:rsidR="00FD0EF3">
        <w:rPr>
          <w:snapToGrid w:val="0"/>
        </w:rPr>
        <w:t xml:space="preserve"> and the International Underwriters is entering into this Agreement in reliance upon the representations and warranties in </w:t>
      </w:r>
      <w:r w:rsidRPr="009A09FD" w:rsidR="00111954">
        <w:rPr>
          <w:snapToGrid w:val="0"/>
        </w:rPr>
        <w:fldChar w:fldCharType="begin"/>
      </w:r>
      <w:r w:rsidRPr="009A09FD" w:rsidR="00111954">
        <w:rPr>
          <w:snapToGrid w:val="0"/>
        </w:rPr>
        <w:instrText xml:space="preserve"> REF _Ref517408050 \n \h  \* MERGEFORMAT </w:instrText>
      </w:r>
      <w:r w:rsidRPr="009A09FD" w:rsidR="00111954">
        <w:rPr>
          <w:snapToGrid w:val="0"/>
        </w:rPr>
        <w:fldChar w:fldCharType="separate"/>
      </w:r>
      <w:r w:rsidRPr="009A09FD" w:rsidR="00ED2E07">
        <w:rPr>
          <w:snapToGrid w:val="0"/>
        </w:rPr>
        <w:t>Part A</w:t>
      </w:r>
      <w:r w:rsidRPr="009A09FD" w:rsidR="00111954">
        <w:rPr>
          <w:snapToGrid w:val="0"/>
        </w:rPr>
        <w:fldChar w:fldCharType="end"/>
      </w:r>
      <w:r w:rsidRPr="009A09FD" w:rsidR="00111954">
        <w:rPr>
          <w:snapToGrid w:val="0"/>
        </w:rPr>
        <w:t xml:space="preserve"> of </w:t>
      </w:r>
      <w:r w:rsidRPr="009A09FD" w:rsidR="00111954">
        <w:rPr>
          <w:snapToGrid w:val="0"/>
        </w:rPr>
        <w:fldChar w:fldCharType="begin"/>
      </w:r>
      <w:r w:rsidRPr="009A09FD" w:rsidR="00111954">
        <w:rPr>
          <w:snapToGrid w:val="0"/>
        </w:rPr>
        <w:instrText xml:space="preserve"> REF _Ref155102112 \n \h </w:instrText>
      </w:r>
      <w:r w:rsidR="009A09FD">
        <w:rPr>
          <w:snapToGrid w:val="0"/>
        </w:rPr>
        <w:instrText xml:space="preserve"> \* MERGEFORMAT </w:instrText>
      </w:r>
      <w:r w:rsidRPr="009A09FD" w:rsidR="00111954">
        <w:rPr>
          <w:snapToGrid w:val="0"/>
        </w:rPr>
        <w:fldChar w:fldCharType="separate"/>
      </w:r>
      <w:r w:rsidRPr="009A09FD" w:rsidR="00ED2E07">
        <w:rPr>
          <w:snapToGrid w:val="0"/>
        </w:rPr>
        <w:t>Schedule V</w:t>
      </w:r>
      <w:r w:rsidRPr="009A09FD" w:rsidR="00111954">
        <w:rPr>
          <w:snapToGrid w:val="0"/>
        </w:rPr>
        <w:fldChar w:fldCharType="end"/>
      </w:r>
      <w:r w:rsidRPr="009A09FD" w:rsidR="00BD2799">
        <w:rPr>
          <w:snapToGrid w:val="0"/>
        </w:rPr>
        <w:t xml:space="preserve"> </w:t>
      </w:r>
      <w:r w:rsidRPr="009A09FD" w:rsidR="00FD0EF3">
        <w:rPr>
          <w:snapToGrid w:val="0"/>
        </w:rPr>
        <w:t xml:space="preserve">hereto.  Each of the representations and warranties in </w:t>
      </w:r>
      <w:r w:rsidRPr="009A09FD" w:rsidR="00111954">
        <w:rPr>
          <w:snapToGrid w:val="0"/>
        </w:rPr>
        <w:fldChar w:fldCharType="begin"/>
      </w:r>
      <w:r w:rsidRPr="009A09FD" w:rsidR="00111954">
        <w:rPr>
          <w:snapToGrid w:val="0"/>
        </w:rPr>
        <w:instrText xml:space="preserve"> REF _Ref517408050 \n \h  \* MERGEFORMAT </w:instrText>
      </w:r>
      <w:r w:rsidRPr="009A09FD" w:rsidR="00111954">
        <w:rPr>
          <w:snapToGrid w:val="0"/>
        </w:rPr>
        <w:fldChar w:fldCharType="separate"/>
      </w:r>
      <w:r w:rsidRPr="009A09FD" w:rsidR="00ED2E07">
        <w:rPr>
          <w:snapToGrid w:val="0"/>
        </w:rPr>
        <w:t>Part A</w:t>
      </w:r>
      <w:r w:rsidRPr="009A09FD" w:rsidR="00111954">
        <w:rPr>
          <w:snapToGrid w:val="0"/>
        </w:rPr>
        <w:fldChar w:fldCharType="end"/>
      </w:r>
      <w:r w:rsidRPr="009A09FD" w:rsidR="00111954">
        <w:rPr>
          <w:snapToGrid w:val="0"/>
        </w:rPr>
        <w:t xml:space="preserve"> of </w:t>
      </w:r>
      <w:r w:rsidRPr="009A09FD" w:rsidR="00111954">
        <w:rPr>
          <w:snapToGrid w:val="0"/>
        </w:rPr>
        <w:fldChar w:fldCharType="begin"/>
      </w:r>
      <w:r w:rsidRPr="009A09FD" w:rsidR="00111954">
        <w:rPr>
          <w:snapToGrid w:val="0"/>
        </w:rPr>
        <w:instrText xml:space="preserve"> REF _Ref155102112 \n \h </w:instrText>
      </w:r>
      <w:r w:rsidR="009A09FD">
        <w:rPr>
          <w:snapToGrid w:val="0"/>
        </w:rPr>
        <w:instrText xml:space="preserve"> \* MERGEFORMAT </w:instrText>
      </w:r>
      <w:r w:rsidRPr="009A09FD" w:rsidR="00111954">
        <w:rPr>
          <w:snapToGrid w:val="0"/>
        </w:rPr>
        <w:fldChar w:fldCharType="separate"/>
      </w:r>
      <w:r w:rsidRPr="009A09FD" w:rsidR="00ED2E07">
        <w:rPr>
          <w:snapToGrid w:val="0"/>
        </w:rPr>
        <w:t>Schedule V</w:t>
      </w:r>
      <w:r w:rsidRPr="009A09FD" w:rsidR="00111954">
        <w:rPr>
          <w:snapToGrid w:val="0"/>
        </w:rPr>
        <w:fldChar w:fldCharType="end"/>
      </w:r>
      <w:r w:rsidRPr="009A09FD" w:rsidR="002C1596">
        <w:rPr>
          <w:snapToGrid w:val="0"/>
        </w:rPr>
        <w:t xml:space="preserve"> </w:t>
      </w:r>
      <w:r w:rsidRPr="009A09FD" w:rsidR="00FD0EF3">
        <w:rPr>
          <w:snapToGrid w:val="0"/>
        </w:rPr>
        <w:t>hereto shall be construed separately and independently and shall be limited or restricted by reference to or inference from the terms of any other of such representations and warranties or any other term of this Agreement.</w:t>
      </w:r>
    </w:p>
    <w:p w:rsidR="001C5107" w:rsidRPr="009A09FD" w:rsidP="003C6CDA" w14:paraId="638FEA94" w14:textId="7CA9A5B6">
      <w:pPr>
        <w:pStyle w:val="Heading3"/>
        <w:rPr>
          <w:snapToGrid w:val="0"/>
        </w:rPr>
      </w:pPr>
      <w:bookmarkStart w:id="64" w:name="_Ref367265587"/>
      <w:r w:rsidRPr="009A09FD">
        <w:rPr>
          <w:snapToGrid w:val="0"/>
        </w:rPr>
        <w:t xml:space="preserve">Each of the </w:t>
      </w:r>
      <w:r w:rsidRPr="009A09FD" w:rsidR="00815483">
        <w:rPr>
          <w:snapToGrid w:val="0"/>
        </w:rPr>
        <w:t>Warranting Shareholders further</w:t>
      </w:r>
      <w:r w:rsidRPr="009A09FD" w:rsidR="00096C80">
        <w:rPr>
          <w:snapToGrid w:val="0"/>
        </w:rPr>
        <w:t xml:space="preserve"> </w:t>
      </w:r>
      <w:r w:rsidRPr="009A09FD" w:rsidR="0045566B">
        <w:rPr>
          <w:snapToGrid w:val="0"/>
        </w:rPr>
        <w:t xml:space="preserve">represents and warrants to, and agrees with, each of </w:t>
      </w:r>
      <w:r w:rsidRPr="009A09FD" w:rsidR="008414C4">
        <w:rPr>
          <w:snapToGrid w:val="0"/>
        </w:rPr>
        <w:t>the Joint Sponsors, the Sponsor-O</w:t>
      </w:r>
      <w:r w:rsidRPr="009A09FD" w:rsidR="006E544C">
        <w:rPr>
          <w:snapToGrid w:val="0"/>
        </w:rPr>
        <w:t>C</w:t>
      </w:r>
      <w:r w:rsidRPr="009A09FD" w:rsidR="008414C4">
        <w:rPr>
          <w:snapToGrid w:val="0"/>
        </w:rPr>
        <w:t xml:space="preserve">s, </w:t>
      </w:r>
      <w:r w:rsidRPr="009A09FD" w:rsidR="0045566B">
        <w:rPr>
          <w:snapToGrid w:val="0"/>
        </w:rPr>
        <w:t xml:space="preserve">the </w:t>
      </w:r>
      <w:r w:rsidRPr="009A09FD" w:rsidR="009F1D45">
        <w:rPr>
          <w:snapToGrid w:val="0"/>
        </w:rPr>
        <w:t>Overall Coordinators</w:t>
      </w:r>
      <w:r w:rsidRPr="009A09FD" w:rsidR="0045566B">
        <w:rPr>
          <w:snapToGrid w:val="0"/>
        </w:rPr>
        <w:t>, the Joint Global Coordinators, the Joint Bookrunners, the Joint Lead Managers</w:t>
      </w:r>
      <w:r w:rsidRPr="009A09FD" w:rsidR="001E56C1">
        <w:rPr>
          <w:snapToGrid w:val="0"/>
        </w:rPr>
        <w:t>, the CMIs</w:t>
      </w:r>
      <w:r w:rsidRPr="009A09FD" w:rsidR="00FF26B8">
        <w:rPr>
          <w:snapToGrid w:val="0"/>
        </w:rPr>
        <w:t xml:space="preserve"> </w:t>
      </w:r>
      <w:r w:rsidRPr="009A09FD" w:rsidR="0045566B">
        <w:rPr>
          <w:snapToGrid w:val="0"/>
        </w:rPr>
        <w:t xml:space="preserve">and the International Underwriters the terms set out in </w:t>
      </w:r>
      <w:bookmarkStart w:id="65" w:name="_Hlk155102464"/>
      <w:r w:rsidRPr="009A09FD" w:rsidR="003B7E49">
        <w:rPr>
          <w:snapToGrid w:val="0"/>
        </w:rPr>
        <w:t xml:space="preserve">Part B </w:t>
      </w:r>
      <w:r w:rsidRPr="009A09FD" w:rsidR="0045566B">
        <w:rPr>
          <w:snapToGrid w:val="0"/>
        </w:rPr>
        <w:t>of</w:t>
      </w:r>
      <w:bookmarkEnd w:id="65"/>
      <w:r w:rsidRPr="009A09FD" w:rsidR="007E1DAE">
        <w:rPr>
          <w:snapToGrid w:val="0"/>
        </w:rPr>
        <w:t xml:space="preserve"> </w:t>
      </w:r>
      <w:r w:rsidRPr="009A09FD" w:rsidR="003B7E49">
        <w:rPr>
          <w:snapToGrid w:val="0"/>
        </w:rPr>
        <w:t>Schedule IV</w:t>
      </w:r>
      <w:r w:rsidRPr="009A09FD" w:rsidR="0045566B">
        <w:rPr>
          <w:snapToGrid w:val="0"/>
        </w:rPr>
        <w:t xml:space="preserve">.  The </w:t>
      </w:r>
      <w:r w:rsidRPr="009A09FD" w:rsidR="0045566B">
        <w:rPr>
          <w:rFonts w:hint="eastAsia"/>
          <w:snapToGrid w:val="0"/>
        </w:rPr>
        <w:t xml:space="preserve">additional </w:t>
      </w:r>
      <w:r w:rsidRPr="009A09FD" w:rsidR="0045566B">
        <w:rPr>
          <w:snapToGrid w:val="0"/>
        </w:rPr>
        <w:t xml:space="preserve">representations, warranties and agreements in </w:t>
      </w:r>
      <w:r w:rsidRPr="009A09FD" w:rsidR="003B7E49">
        <w:rPr>
          <w:snapToGrid w:val="0"/>
        </w:rPr>
        <w:t xml:space="preserve">Part B </w:t>
      </w:r>
      <w:r w:rsidRPr="009A09FD" w:rsidR="007E1DAE">
        <w:rPr>
          <w:snapToGrid w:val="0"/>
        </w:rPr>
        <w:t xml:space="preserve">of </w:t>
      </w:r>
      <w:r w:rsidRPr="009A09FD" w:rsidR="003B7E49">
        <w:rPr>
          <w:snapToGrid w:val="0"/>
        </w:rPr>
        <w:t>Schedule IV</w:t>
      </w:r>
      <w:r w:rsidRPr="009A09FD" w:rsidR="0045566B">
        <w:rPr>
          <w:snapToGrid w:val="0"/>
        </w:rPr>
        <w:t xml:space="preserve"> are given on and as at the date of this Agreement with respect to the facts and circumstances subsisting at the date of this Agreement and shall be deemed to be given and repeated on and as at the Time of Sale, the date of any amendment or supplement to the Disclosure Package or the </w:t>
      </w:r>
      <w:r w:rsidRPr="009A09FD" w:rsidR="005F428E">
        <w:rPr>
          <w:snapToGrid w:val="0"/>
        </w:rPr>
        <w:t>Offering Circular</w:t>
      </w:r>
      <w:r w:rsidRPr="009A09FD" w:rsidR="0045566B">
        <w:rPr>
          <w:snapToGrid w:val="0"/>
        </w:rPr>
        <w:t xml:space="preserve"> subsequent to the Time of Sale and each Time of Delivery with reference to the facts and circumstances then subsisting.</w:t>
      </w:r>
      <w:bookmarkEnd w:id="64"/>
      <w:r w:rsidRPr="009A09FD" w:rsidR="00201AE4">
        <w:rPr>
          <w:snapToGrid w:val="0"/>
        </w:rPr>
        <w:t xml:space="preserve"> </w:t>
      </w:r>
      <w:r w:rsidRPr="009A09FD" w:rsidR="00201AE4">
        <w:rPr>
          <w:rFonts w:hint="eastAsia"/>
          <w:snapToGrid w:val="0"/>
        </w:rPr>
        <w:t>Each</w:t>
      </w:r>
      <w:r w:rsidRPr="009A09FD" w:rsidR="00201AE4">
        <w:rPr>
          <w:snapToGrid w:val="0"/>
        </w:rPr>
        <w:t xml:space="preserve"> of the </w:t>
      </w:r>
      <w:r w:rsidRPr="009A09FD" w:rsidR="00815483">
        <w:rPr>
          <w:snapToGrid w:val="0"/>
        </w:rPr>
        <w:t xml:space="preserve">Warranting Shareholders </w:t>
      </w:r>
      <w:r w:rsidRPr="009A09FD" w:rsidR="00201AE4">
        <w:rPr>
          <w:snapToGrid w:val="0"/>
        </w:rPr>
        <w:t xml:space="preserve">acknowledges that each of </w:t>
      </w:r>
      <w:r w:rsidRPr="009A09FD" w:rsidR="005A2ED9">
        <w:rPr>
          <w:snapToGrid w:val="0"/>
        </w:rPr>
        <w:t>the Joint Sponsors, the Sponsor</w:t>
      </w:r>
      <w:r w:rsidRPr="009A09FD" w:rsidR="00B008A5">
        <w:rPr>
          <w:snapToGrid w:val="0"/>
        </w:rPr>
        <w:t>-</w:t>
      </w:r>
      <w:r w:rsidRPr="009A09FD" w:rsidR="005A2ED9">
        <w:rPr>
          <w:snapToGrid w:val="0"/>
        </w:rPr>
        <w:t xml:space="preserve">OCs, </w:t>
      </w:r>
      <w:r w:rsidRPr="009A09FD" w:rsidR="00201AE4">
        <w:rPr>
          <w:snapToGrid w:val="0"/>
        </w:rPr>
        <w:t xml:space="preserve">the </w:t>
      </w:r>
      <w:r w:rsidRPr="009A09FD" w:rsidR="003B585E">
        <w:rPr>
          <w:snapToGrid w:val="0"/>
        </w:rPr>
        <w:t>Overall Coordinators</w:t>
      </w:r>
      <w:r w:rsidRPr="009A09FD" w:rsidR="00201AE4">
        <w:rPr>
          <w:snapToGrid w:val="0"/>
        </w:rPr>
        <w:t xml:space="preserve">, </w:t>
      </w:r>
      <w:r w:rsidRPr="009A09FD" w:rsidR="005A2ED9">
        <w:rPr>
          <w:snapToGrid w:val="0"/>
        </w:rPr>
        <w:t xml:space="preserve">the Joint Global Coordinators, </w:t>
      </w:r>
      <w:r w:rsidRPr="009A09FD" w:rsidR="00201AE4">
        <w:rPr>
          <w:snapToGrid w:val="0"/>
        </w:rPr>
        <w:t>the Joint Bookrunners, the Joint Lead Managers</w:t>
      </w:r>
      <w:r w:rsidRPr="009A09FD" w:rsidR="001E56C1">
        <w:rPr>
          <w:snapToGrid w:val="0"/>
        </w:rPr>
        <w:t>, the CMIs</w:t>
      </w:r>
      <w:r w:rsidRPr="009A09FD" w:rsidR="00201AE4">
        <w:rPr>
          <w:snapToGrid w:val="0"/>
        </w:rPr>
        <w:t xml:space="preserve"> and the International Underwriters is entering into this Agreement in reliance upon the representations and warranties in </w:t>
      </w:r>
      <w:r w:rsidRPr="009A09FD" w:rsidR="003B7E49">
        <w:rPr>
          <w:snapToGrid w:val="0"/>
        </w:rPr>
        <w:t xml:space="preserve">Part B of Schedule IV </w:t>
      </w:r>
      <w:r w:rsidRPr="009A09FD" w:rsidR="00201AE4">
        <w:rPr>
          <w:snapToGrid w:val="0"/>
        </w:rPr>
        <w:t xml:space="preserve">hereto.  Each of the representations and warranties in </w:t>
      </w:r>
      <w:r w:rsidRPr="009A09FD" w:rsidR="003B7E49">
        <w:rPr>
          <w:snapToGrid w:val="0"/>
        </w:rPr>
        <w:t>Part B of Schedule IV</w:t>
      </w:r>
      <w:r w:rsidRPr="009A09FD" w:rsidR="001278CF">
        <w:rPr>
          <w:snapToGrid w:val="0"/>
        </w:rPr>
        <w:t xml:space="preserve"> </w:t>
      </w:r>
      <w:r w:rsidRPr="009A09FD" w:rsidR="00201AE4">
        <w:rPr>
          <w:snapToGrid w:val="0"/>
        </w:rPr>
        <w:t>hereto shall be construed separately and independently and shall be limited or restricted by reference to or inference from the terms of any other of such representations and warranties or any other term of this Agreement.</w:t>
      </w:r>
    </w:p>
    <w:bookmarkEnd w:id="63"/>
    <w:p w:rsidR="001C5107" w:rsidRPr="009A09FD" w:rsidP="003C6CDA" w14:paraId="30EF5433" w14:textId="54C4CAA6">
      <w:pPr>
        <w:pStyle w:val="Heading3"/>
        <w:rPr>
          <w:snapToGrid w:val="0"/>
        </w:rPr>
      </w:pPr>
      <w:r w:rsidRPr="009A09FD">
        <w:rPr>
          <w:snapToGrid w:val="0"/>
        </w:rPr>
        <w:t>In addition, any certificate signed by any officer or director of the Company</w:t>
      </w:r>
      <w:r w:rsidRPr="009A09FD" w:rsidR="0043331A">
        <w:rPr>
          <w:snapToGrid w:val="0"/>
        </w:rPr>
        <w:t xml:space="preserve"> or </w:t>
      </w:r>
      <w:r w:rsidRPr="009A09FD" w:rsidR="008E55DE">
        <w:rPr>
          <w:snapToGrid w:val="0"/>
        </w:rPr>
        <w:t>the Warranting Shareholder</w:t>
      </w:r>
      <w:r w:rsidRPr="009A09FD" w:rsidR="0053254E">
        <w:rPr>
          <w:snapToGrid w:val="0"/>
        </w:rPr>
        <w:t xml:space="preserve">, </w:t>
      </w:r>
      <w:r w:rsidRPr="009A09FD">
        <w:rPr>
          <w:snapToGrid w:val="0"/>
        </w:rPr>
        <w:t xml:space="preserve">as the case may be, and delivered to </w:t>
      </w:r>
      <w:r w:rsidRPr="009A09FD" w:rsidR="005A2ED9">
        <w:rPr>
          <w:snapToGrid w:val="0"/>
        </w:rPr>
        <w:t>the Joint Sponsors, the Sponsor</w:t>
      </w:r>
      <w:r w:rsidRPr="009A09FD" w:rsidR="00B008A5">
        <w:rPr>
          <w:snapToGrid w:val="0"/>
        </w:rPr>
        <w:t>-</w:t>
      </w:r>
      <w:r w:rsidRPr="009A09FD" w:rsidR="005A2ED9">
        <w:rPr>
          <w:snapToGrid w:val="0"/>
        </w:rPr>
        <w:t>OCs, the Overall Coordinators, the Joint Global Coordinators, the Joint Bookrunners, the Joint Lead Managers</w:t>
      </w:r>
      <w:r w:rsidRPr="009A09FD" w:rsidR="0092753E">
        <w:rPr>
          <w:snapToGrid w:val="0"/>
        </w:rPr>
        <w:t>, the CMIs</w:t>
      </w:r>
      <w:r w:rsidRPr="009A09FD" w:rsidR="005A2ED9">
        <w:rPr>
          <w:snapToGrid w:val="0"/>
        </w:rPr>
        <w:t xml:space="preserve"> or the International Underwriters </w:t>
      </w:r>
      <w:r w:rsidRPr="009A09FD">
        <w:rPr>
          <w:snapToGrid w:val="0"/>
        </w:rPr>
        <w:t>or any counsel for the International Underwriters in connection with the International Offering shall be deemed to be a representation and warranty by the Company</w:t>
      </w:r>
      <w:r w:rsidRPr="009A09FD" w:rsidR="00CD3C0C">
        <w:rPr>
          <w:snapToGrid w:val="0"/>
        </w:rPr>
        <w:t>,</w:t>
      </w:r>
      <w:r w:rsidRPr="009A09FD">
        <w:rPr>
          <w:rFonts w:hint="eastAsia"/>
          <w:snapToGrid w:val="0"/>
        </w:rPr>
        <w:t xml:space="preserve"> the </w:t>
      </w:r>
      <w:r w:rsidRPr="009A09FD" w:rsidR="008E55DE">
        <w:rPr>
          <w:snapToGrid w:val="0"/>
        </w:rPr>
        <w:t>Warranting Shareholders</w:t>
      </w:r>
      <w:r w:rsidRPr="009A09FD">
        <w:rPr>
          <w:snapToGrid w:val="0"/>
        </w:rPr>
        <w:t xml:space="preserve">, as the case may be, as to matters covered thereby, to each of </w:t>
      </w:r>
      <w:r w:rsidRPr="009A09FD" w:rsidR="005A2ED9">
        <w:rPr>
          <w:snapToGrid w:val="0"/>
        </w:rPr>
        <w:t>the Joint Sponsors, the Sponsor</w:t>
      </w:r>
      <w:r w:rsidRPr="009A09FD" w:rsidR="00B008A5">
        <w:rPr>
          <w:snapToGrid w:val="0"/>
        </w:rPr>
        <w:t>-</w:t>
      </w:r>
      <w:r w:rsidRPr="009A09FD" w:rsidR="005A2ED9">
        <w:rPr>
          <w:snapToGrid w:val="0"/>
        </w:rPr>
        <w:t>OCs, the Overall Coordinators, the Joint Global Coordinators, the Joint Bookrunners, the Joint Lead Managers</w:t>
      </w:r>
      <w:r w:rsidRPr="009A09FD" w:rsidR="0092753E">
        <w:rPr>
          <w:snapToGrid w:val="0"/>
        </w:rPr>
        <w:t>, the CMIs</w:t>
      </w:r>
      <w:r w:rsidRPr="009A09FD" w:rsidR="005A2ED9">
        <w:rPr>
          <w:snapToGrid w:val="0"/>
        </w:rPr>
        <w:t xml:space="preserve"> and the International Underwriters</w:t>
      </w:r>
      <w:r w:rsidRPr="009A09FD">
        <w:rPr>
          <w:snapToGrid w:val="0"/>
        </w:rPr>
        <w:t>.</w:t>
      </w:r>
    </w:p>
    <w:p w:rsidR="00815483" w:rsidRPr="009A09FD" w:rsidP="003C6CDA" w14:paraId="072553C1" w14:textId="7EB41D92">
      <w:pPr>
        <w:pStyle w:val="Heading3"/>
        <w:rPr>
          <w:snapToGrid w:val="0"/>
        </w:rPr>
      </w:pPr>
      <w:r w:rsidRPr="009A09FD">
        <w:rPr>
          <w:snapToGrid w:val="0"/>
        </w:rPr>
        <w:t xml:space="preserve">[Each of the International Underwriters, severally </w:t>
      </w:r>
      <w:r w:rsidRPr="009A09FD" w:rsidR="007C3BF2">
        <w:rPr>
          <w:snapToGrid w:val="0"/>
        </w:rPr>
        <w:t>but not</w:t>
      </w:r>
      <w:r w:rsidRPr="009A09FD">
        <w:rPr>
          <w:snapToGrid w:val="0"/>
        </w:rPr>
        <w:t xml:space="preserve"> jointly, represents and warrants and agrees with the Company that (A) it will offer and sell the Offer Shares inside the United States only to, or procure purchases only from, persons who it reasonably believes are “qualified institutional buyers” as defined in Rule 144A in transactions meeting the requirements of Rule 144A or another exemption from the registration requirements of the Securities Act, or outside the United States only in “offshore transactions” as defined in Regulation S; (</w:t>
      </w:r>
      <w:r w:rsidRPr="009A09FD" w:rsidR="00BE4755">
        <w:rPr>
          <w:snapToGrid w:val="0"/>
        </w:rPr>
        <w:t>B</w:t>
      </w:r>
      <w:r w:rsidRPr="009A09FD">
        <w:rPr>
          <w:snapToGrid w:val="0"/>
        </w:rPr>
        <w:t>) it has not offered or sold and will not offer or sell the Offer Shares by any form of "general solicitation or general advertising" (within the meaning of Regulation D under the Securities Act) or any other conduct involving a public offering within the meaning of Section 4(a)(2) of the Securities Act; and (</w:t>
      </w:r>
      <w:r w:rsidRPr="009A09FD" w:rsidR="00BE4755">
        <w:rPr>
          <w:snapToGrid w:val="0"/>
        </w:rPr>
        <w:t>C</w:t>
      </w:r>
      <w:r w:rsidRPr="009A09FD">
        <w:rPr>
          <w:snapToGrid w:val="0"/>
        </w:rPr>
        <w:t>) neither it</w:t>
      </w:r>
      <w:r w:rsidRPr="009A09FD" w:rsidR="000D782E">
        <w:rPr>
          <w:snapToGrid w:val="0"/>
        </w:rPr>
        <w:t>, its affiliates</w:t>
      </w:r>
      <w:r w:rsidRPr="009A09FD" w:rsidR="007C3BF2">
        <w:rPr>
          <w:snapToGrid w:val="0"/>
        </w:rPr>
        <w:t xml:space="preserve"> </w:t>
      </w:r>
      <w:r w:rsidRPr="009A09FD">
        <w:rPr>
          <w:snapToGrid w:val="0"/>
        </w:rPr>
        <w:t xml:space="preserve">nor any person acting on its </w:t>
      </w:r>
      <w:r w:rsidRPr="009A09FD" w:rsidR="000D782E">
        <w:rPr>
          <w:snapToGrid w:val="0"/>
        </w:rPr>
        <w:t xml:space="preserve">or their </w:t>
      </w:r>
      <w:r w:rsidRPr="009A09FD">
        <w:rPr>
          <w:snapToGrid w:val="0"/>
        </w:rPr>
        <w:t>behalf have engaged and will engage in any "directed selling efforts" within the meaning of Regulation S with respect to the Offer Shares.]</w:t>
      </w:r>
      <w:r>
        <w:rPr>
          <w:rStyle w:val="FootnoteReference"/>
          <w:snapToGrid w:val="0"/>
        </w:rPr>
        <w:footnoteReference w:id="16"/>
      </w:r>
    </w:p>
    <w:p w:rsidR="001C5107" w:rsidRPr="009A09FD" w:rsidP="003C6CDA" w14:paraId="687DEF2F" w14:textId="78DC5518">
      <w:pPr>
        <w:pStyle w:val="Heading1"/>
        <w:rPr>
          <w:snapToGrid w:val="0"/>
        </w:rPr>
      </w:pPr>
      <w:bookmarkStart w:id="66" w:name="_Toc517409036"/>
      <w:bookmarkStart w:id="67" w:name="_Toc72862704"/>
      <w:bookmarkStart w:id="68" w:name="_Ref150417730"/>
      <w:bookmarkStart w:id="69" w:name="_Ref367265588"/>
      <w:r w:rsidRPr="009A09FD">
        <w:rPr>
          <w:snapToGrid w:val="0"/>
        </w:rPr>
        <w:t xml:space="preserve">Covenants of the </w:t>
      </w:r>
      <w:bookmarkEnd w:id="66"/>
      <w:bookmarkEnd w:id="67"/>
      <w:r w:rsidRPr="009A09FD" w:rsidR="003C6CDA">
        <w:rPr>
          <w:snapToGrid w:val="0"/>
        </w:rPr>
        <w:t>Warrantors</w:t>
      </w:r>
      <w:bookmarkEnd w:id="68"/>
    </w:p>
    <w:p w:rsidR="001C5107" w:rsidRPr="009A09FD" w:rsidP="00A53653" w14:paraId="424DC2EE" w14:textId="1E0D745E">
      <w:pPr>
        <w:pStyle w:val="BodyText1"/>
        <w:rPr>
          <w:b/>
          <w:bCs/>
          <w:i/>
          <w:iCs/>
          <w:snapToGrid w:val="0"/>
        </w:rPr>
      </w:pPr>
      <w:r w:rsidRPr="009A09FD">
        <w:rPr>
          <w:snapToGrid w:val="0"/>
        </w:rPr>
        <w:t xml:space="preserve">The Company agrees and undertakes with each of </w:t>
      </w:r>
      <w:r w:rsidRPr="009A09FD" w:rsidR="005A2ED9">
        <w:rPr>
          <w:snapToGrid w:val="0"/>
        </w:rPr>
        <w:t>the Joint Sponsors, the Sponsor</w:t>
      </w:r>
      <w:r w:rsidRPr="009A09FD" w:rsidR="00B008A5">
        <w:rPr>
          <w:snapToGrid w:val="0"/>
        </w:rPr>
        <w:t>-</w:t>
      </w:r>
      <w:r w:rsidRPr="009A09FD" w:rsidR="005A2ED9">
        <w:rPr>
          <w:snapToGrid w:val="0"/>
        </w:rPr>
        <w:t xml:space="preserve">OCs, the Overall Coordinators, the Joint Global Coordinators, the Joint Bookrunners, the Joint Lead Managers </w:t>
      </w:r>
      <w:r w:rsidRPr="009A09FD" w:rsidR="00382812">
        <w:rPr>
          <w:snapToGrid w:val="0"/>
        </w:rPr>
        <w:t xml:space="preserve">, the CMIs </w:t>
      </w:r>
      <w:r w:rsidRPr="009A09FD" w:rsidR="005A2ED9">
        <w:rPr>
          <w:snapToGrid w:val="0"/>
        </w:rPr>
        <w:t xml:space="preserve">and the International Underwriters </w:t>
      </w:r>
      <w:r w:rsidRPr="009A09FD">
        <w:rPr>
          <w:snapToGrid w:val="0"/>
        </w:rPr>
        <w:t>to</w:t>
      </w:r>
      <w:r w:rsidRPr="009A09FD">
        <w:rPr>
          <w:rFonts w:hint="eastAsia"/>
          <w:snapToGrid w:val="0"/>
        </w:rPr>
        <w:t>, a</w:t>
      </w:r>
      <w:r w:rsidRPr="009A09FD">
        <w:rPr>
          <w:snapToGrid w:val="0"/>
        </w:rPr>
        <w:t xml:space="preserve">nd </w:t>
      </w:r>
      <w:r w:rsidRPr="009A09FD" w:rsidR="00006A69">
        <w:rPr>
          <w:snapToGrid w:val="0"/>
        </w:rPr>
        <w:t xml:space="preserve">each of </w:t>
      </w:r>
      <w:r w:rsidRPr="009A09FD">
        <w:rPr>
          <w:snapToGrid w:val="0"/>
        </w:rPr>
        <w:t xml:space="preserve">the </w:t>
      </w:r>
      <w:r w:rsidRPr="009A09FD" w:rsidR="00096C80">
        <w:rPr>
          <w:snapToGrid w:val="0"/>
        </w:rPr>
        <w:t>Warranting Shareholders</w:t>
      </w:r>
      <w:r w:rsidRPr="009A09FD">
        <w:rPr>
          <w:snapToGrid w:val="0"/>
        </w:rPr>
        <w:t xml:space="preserve">, agrees with each of </w:t>
      </w:r>
      <w:r w:rsidRPr="009A09FD" w:rsidR="00577066">
        <w:rPr>
          <w:snapToGrid w:val="0"/>
        </w:rPr>
        <w:t>the Joint Sponsors, the Sponsor</w:t>
      </w:r>
      <w:r w:rsidRPr="009A09FD" w:rsidR="00B008A5">
        <w:rPr>
          <w:snapToGrid w:val="0"/>
        </w:rPr>
        <w:t>-</w:t>
      </w:r>
      <w:r w:rsidRPr="009A09FD" w:rsidR="00577066">
        <w:rPr>
          <w:snapToGrid w:val="0"/>
        </w:rPr>
        <w:t xml:space="preserve">OCs, the Overall Coordinators, the Joint Global Coordinators, the Joint Bookrunners, the Joint Lead Managers </w:t>
      </w:r>
      <w:r w:rsidRPr="009A09FD" w:rsidR="00382812">
        <w:rPr>
          <w:snapToGrid w:val="0"/>
        </w:rPr>
        <w:t xml:space="preserve">, the CMIs </w:t>
      </w:r>
      <w:r w:rsidRPr="009A09FD" w:rsidR="00577066">
        <w:rPr>
          <w:snapToGrid w:val="0"/>
        </w:rPr>
        <w:t xml:space="preserve">and the International Underwriters </w:t>
      </w:r>
      <w:r w:rsidRPr="009A09FD">
        <w:rPr>
          <w:snapToGrid w:val="0"/>
        </w:rPr>
        <w:t>to procure the Company to, comply with the following:</w:t>
      </w:r>
      <w:bookmarkEnd w:id="69"/>
      <w:r w:rsidRPr="009A09FD" w:rsidR="00A53653">
        <w:rPr>
          <w:snapToGrid w:val="0"/>
        </w:rPr>
        <w:t xml:space="preserve"> </w:t>
      </w:r>
    </w:p>
    <w:p w:rsidR="001C5107" w:rsidRPr="009A09FD" w:rsidP="003C6CDA" w14:paraId="3C3BEAAB" w14:textId="52213FE8">
      <w:pPr>
        <w:pStyle w:val="Heading3"/>
        <w:rPr>
          <w:snapToGrid w:val="0"/>
        </w:rPr>
      </w:pPr>
      <w:bookmarkStart w:id="70" w:name="_Ref367265589"/>
      <w:r w:rsidRPr="009A09FD">
        <w:rPr>
          <w:snapToGrid w:val="0"/>
        </w:rPr>
        <w:t>to furnish such information and otherwise to cooperate or take such action as may be</w:t>
      </w:r>
      <w:r w:rsidRPr="009A09FD" w:rsidR="00E218C3">
        <w:rPr>
          <w:snapToGrid w:val="0"/>
        </w:rPr>
        <w:t xml:space="preserve"> </w:t>
      </w:r>
      <w:r w:rsidRPr="009A09FD">
        <w:rPr>
          <w:snapToGrid w:val="0"/>
        </w:rPr>
        <w:t xml:space="preserve">required by the </w:t>
      </w:r>
      <w:r w:rsidRPr="009A09FD" w:rsidR="00694ADB">
        <w:rPr>
          <w:snapToGrid w:val="0"/>
        </w:rPr>
        <w:t>Overall Coordinators</w:t>
      </w:r>
      <w:r w:rsidRPr="009A09FD" w:rsidR="009B46B6">
        <w:rPr>
          <w:snapToGrid w:val="0"/>
        </w:rPr>
        <w:t>, the Joint Global Coordinators and the International Underwriters to</w:t>
      </w:r>
      <w:r w:rsidRPr="009A09FD">
        <w:rPr>
          <w:snapToGrid w:val="0"/>
        </w:rPr>
        <w:t xml:space="preserve"> qualify the Offer Shares for offering and sale under the Laws of such jurisdictions as the </w:t>
      </w:r>
      <w:r w:rsidRPr="009A09FD" w:rsidR="00A77F28">
        <w:rPr>
          <w:snapToGrid w:val="0"/>
        </w:rPr>
        <w:t>Overall Coordinators</w:t>
      </w:r>
      <w:r w:rsidRPr="009A09FD" w:rsidR="009B46B6">
        <w:rPr>
          <w:snapToGrid w:val="0"/>
        </w:rPr>
        <w:t xml:space="preserve">, the Joint Global Coordinators and the International Underwriters </w:t>
      </w:r>
      <w:r w:rsidRPr="009A09FD">
        <w:rPr>
          <w:snapToGrid w:val="0"/>
        </w:rPr>
        <w:t xml:space="preserve">may designate and to maintain such qualifications in effect and comply with such Laws so as to permit the continuance of sales and dealings therein in such jurisdictions for as long as may be necessary to complete the sale and distribution of the Offer Shares; </w:t>
      </w:r>
      <w:r w:rsidRPr="009A09FD">
        <w:rPr>
          <w:b/>
          <w:snapToGrid w:val="0"/>
        </w:rPr>
        <w:t>provided, however, that</w:t>
      </w:r>
      <w:r w:rsidRPr="009A09FD">
        <w:rPr>
          <w:snapToGrid w:val="0"/>
        </w:rPr>
        <w:t xml:space="preserve"> the Company shall not be required to qualify as a foreign corporation or to file a general consent to the service of process (except service of process with respect to the offering and sale of the Offer Shares);</w:t>
      </w:r>
      <w:bookmarkEnd w:id="70"/>
    </w:p>
    <w:p w:rsidR="001C5107" w:rsidRPr="009A09FD" w:rsidP="003C6CDA" w14:paraId="61A68387" w14:textId="763C8BB4">
      <w:pPr>
        <w:pStyle w:val="Heading3"/>
        <w:rPr>
          <w:snapToGrid w:val="0"/>
        </w:rPr>
      </w:pPr>
      <w:bookmarkStart w:id="71" w:name="_Ref367265590"/>
      <w:r w:rsidRPr="009A09FD">
        <w:rPr>
          <w:snapToGrid w:val="0"/>
        </w:rPr>
        <w:t xml:space="preserve">to (A) promptly prepare each of the Disclosure Package and </w:t>
      </w:r>
      <w:r w:rsidRPr="009A09FD">
        <w:rPr>
          <w:rFonts w:hint="eastAsia"/>
          <w:snapToGrid w:val="0"/>
        </w:rPr>
        <w:t xml:space="preserve">the </w:t>
      </w:r>
      <w:r w:rsidRPr="009A09FD" w:rsidR="005F428E">
        <w:rPr>
          <w:snapToGrid w:val="0"/>
        </w:rPr>
        <w:t>Offering Circular</w:t>
      </w:r>
      <w:r w:rsidRPr="009A09FD">
        <w:rPr>
          <w:snapToGrid w:val="0"/>
        </w:rPr>
        <w:t xml:space="preserve"> in a form approved by the </w:t>
      </w:r>
      <w:r w:rsidRPr="009A09FD" w:rsidR="00930EF4">
        <w:rPr>
          <w:snapToGrid w:val="0"/>
        </w:rPr>
        <w:t>Overall Coordinators</w:t>
      </w:r>
      <w:r w:rsidRPr="009A09FD" w:rsidR="009B46B6">
        <w:rPr>
          <w:snapToGrid w:val="0"/>
        </w:rPr>
        <w:t xml:space="preserve"> and the Joint Global Coordinators</w:t>
      </w:r>
      <w:r w:rsidRPr="009A09FD">
        <w:rPr>
          <w:snapToGrid w:val="0"/>
        </w:rPr>
        <w:t xml:space="preserve">, </w:t>
      </w:r>
      <w:bookmarkStart w:id="72" w:name="DocXTextRef41"/>
      <w:r w:rsidRPr="009A09FD">
        <w:rPr>
          <w:snapToGrid w:val="0"/>
        </w:rPr>
        <w:t>(B)</w:t>
      </w:r>
      <w:bookmarkEnd w:id="72"/>
      <w:r w:rsidRPr="009A09FD">
        <w:rPr>
          <w:snapToGrid w:val="0"/>
        </w:rPr>
        <w:t xml:space="preserve"> promptly advise the </w:t>
      </w:r>
      <w:r w:rsidRPr="009A09FD" w:rsidR="007373A7">
        <w:rPr>
          <w:snapToGrid w:val="0"/>
        </w:rPr>
        <w:t>Overall Coordinators</w:t>
      </w:r>
      <w:r w:rsidRPr="009A09FD" w:rsidR="009B46B6">
        <w:rPr>
          <w:snapToGrid w:val="0"/>
        </w:rPr>
        <w:t xml:space="preserve"> and the Joint Global Coordinators</w:t>
      </w:r>
      <w:r w:rsidRPr="009A09FD" w:rsidR="007373A7">
        <w:rPr>
          <w:snapToGrid w:val="0"/>
        </w:rPr>
        <w:t xml:space="preserve"> </w:t>
      </w:r>
      <w:r w:rsidRPr="009A09FD">
        <w:rPr>
          <w:snapToGrid w:val="0"/>
        </w:rPr>
        <w:t xml:space="preserve">of any proposal to amend or supplement the Disclosure Package or the </w:t>
      </w:r>
      <w:r w:rsidRPr="009A09FD" w:rsidR="005F428E">
        <w:rPr>
          <w:snapToGrid w:val="0"/>
        </w:rPr>
        <w:t>Offering Circular</w:t>
      </w:r>
      <w:r w:rsidRPr="009A09FD">
        <w:rPr>
          <w:snapToGrid w:val="0"/>
        </w:rPr>
        <w:t xml:space="preserve">, and </w:t>
      </w:r>
      <w:bookmarkStart w:id="73" w:name="DocXTextRef42"/>
      <w:r w:rsidRPr="009A09FD">
        <w:rPr>
          <w:snapToGrid w:val="0"/>
        </w:rPr>
        <w:t>(C)</w:t>
      </w:r>
      <w:bookmarkEnd w:id="73"/>
      <w:r w:rsidRPr="009A09FD">
        <w:rPr>
          <w:snapToGrid w:val="0"/>
        </w:rPr>
        <w:t xml:space="preserve"> make no such amendment or supplement to either the Disclosure Package or the </w:t>
      </w:r>
      <w:r w:rsidRPr="009A09FD" w:rsidR="005F428E">
        <w:rPr>
          <w:snapToGrid w:val="0"/>
        </w:rPr>
        <w:t>Offering Circular</w:t>
      </w:r>
      <w:r w:rsidRPr="009A09FD">
        <w:rPr>
          <w:snapToGrid w:val="0"/>
        </w:rPr>
        <w:t xml:space="preserve"> without the prior approval by the </w:t>
      </w:r>
      <w:r w:rsidRPr="009A09FD" w:rsidR="00833B67">
        <w:rPr>
          <w:snapToGrid w:val="0"/>
        </w:rPr>
        <w:t>Overall Coordinators</w:t>
      </w:r>
      <w:bookmarkEnd w:id="71"/>
      <w:r w:rsidRPr="009A09FD" w:rsidR="00AC2795">
        <w:rPr>
          <w:snapToGrid w:val="0"/>
        </w:rPr>
        <w:t xml:space="preserve"> and the Joint </w:t>
      </w:r>
      <w:r w:rsidRPr="009A09FD" w:rsidR="00786185">
        <w:rPr>
          <w:snapToGrid w:val="0"/>
        </w:rPr>
        <w:t xml:space="preserve">Global </w:t>
      </w:r>
      <w:r w:rsidRPr="009A09FD" w:rsidR="00AC2795">
        <w:rPr>
          <w:snapToGrid w:val="0"/>
        </w:rPr>
        <w:t>Coordinators</w:t>
      </w:r>
      <w:r w:rsidRPr="009A09FD">
        <w:rPr>
          <w:snapToGrid w:val="0"/>
        </w:rPr>
        <w:t>;</w:t>
      </w:r>
    </w:p>
    <w:p w:rsidR="001C5107" w:rsidRPr="009A09FD" w:rsidP="003C6CDA" w14:paraId="4C10B0FA" w14:textId="3C57DE5F">
      <w:pPr>
        <w:pStyle w:val="Heading3"/>
        <w:rPr>
          <w:snapToGrid w:val="0"/>
        </w:rPr>
      </w:pPr>
      <w:bookmarkStart w:id="74" w:name="_Ref367265591"/>
      <w:r w:rsidRPr="009A09FD">
        <w:rPr>
          <w:snapToGrid w:val="0"/>
        </w:rPr>
        <w:t>to furnish or make available without charge to the</w:t>
      </w:r>
      <w:r w:rsidRPr="009A09FD" w:rsidR="00614676">
        <w:rPr>
          <w:snapToGrid w:val="0"/>
        </w:rPr>
        <w:t xml:space="preserve"> Overall Coordinators, the Joint Global Coordinators, the Joint Sponsors</w:t>
      </w:r>
      <w:r w:rsidRPr="009A09FD" w:rsidR="00285D26">
        <w:rPr>
          <w:snapToGrid w:val="0"/>
        </w:rPr>
        <w:t>, the Joint Bookrunners, the Joint Lead Managers</w:t>
      </w:r>
      <w:r w:rsidRPr="009A09FD" w:rsidR="00C93D11">
        <w:rPr>
          <w:snapToGrid w:val="0"/>
        </w:rPr>
        <w:t>, the CMIs</w:t>
      </w:r>
      <w:r w:rsidRPr="009A09FD" w:rsidR="00614676">
        <w:rPr>
          <w:snapToGrid w:val="0"/>
        </w:rPr>
        <w:t xml:space="preserve"> and the</w:t>
      </w:r>
      <w:r w:rsidRPr="009A09FD">
        <w:rPr>
          <w:snapToGrid w:val="0"/>
        </w:rPr>
        <w:t xml:space="preserve"> International Underwriters prior to </w:t>
      </w:r>
      <w:r w:rsidRPr="009A09FD" w:rsidR="005010B1">
        <w:rPr>
          <w:snapToGrid w:val="0"/>
        </w:rPr>
        <w:t>[</w:t>
      </w:r>
      <w:r w:rsidRPr="009A09FD" w:rsidR="001C6C9E">
        <w:rPr>
          <w:snapToGrid w:val="0"/>
        </w:rPr>
        <w:t>9</w:t>
      </w:r>
      <w:r w:rsidRPr="009A09FD">
        <w:rPr>
          <w:snapToGrid w:val="0"/>
        </w:rPr>
        <w:t>:00 a.m.</w:t>
      </w:r>
      <w:r w:rsidRPr="009A09FD" w:rsidR="005010B1">
        <w:rPr>
          <w:snapToGrid w:val="0"/>
        </w:rPr>
        <w:t>]</w:t>
      </w:r>
      <w:r w:rsidRPr="009A09FD">
        <w:rPr>
          <w:snapToGrid w:val="0"/>
        </w:rPr>
        <w:t xml:space="preserve">, </w:t>
      </w:r>
      <w:r w:rsidRPr="009A09FD" w:rsidR="001B6796">
        <w:rPr>
          <w:snapToGrid w:val="0"/>
        </w:rPr>
        <w:t>New York City</w:t>
      </w:r>
      <w:r w:rsidRPr="009A09FD">
        <w:rPr>
          <w:snapToGrid w:val="0"/>
        </w:rPr>
        <w:t xml:space="preserve"> time, </w:t>
      </w:r>
      <w:r w:rsidRPr="009A09FD" w:rsidR="002B2D65">
        <w:rPr>
          <w:snapToGrid w:val="0"/>
        </w:rPr>
        <w:t xml:space="preserve">on </w:t>
      </w:r>
      <w:r w:rsidRPr="009A09FD">
        <w:rPr>
          <w:snapToGrid w:val="0"/>
        </w:rPr>
        <w:t xml:space="preserve">the date hereof and thereafter from time to time, as many written and electronic copies of the Disclosure Package and the </w:t>
      </w:r>
      <w:r w:rsidRPr="009A09FD" w:rsidR="005F428E">
        <w:rPr>
          <w:snapToGrid w:val="0"/>
        </w:rPr>
        <w:t>Offering Circular</w:t>
      </w:r>
      <w:r w:rsidRPr="009A09FD">
        <w:rPr>
          <w:snapToGrid w:val="0"/>
        </w:rPr>
        <w:t xml:space="preserve"> (and of each amendment or supplement thereto if the Company shall have made any such amendment or supplement) and in such jurisdictions as the </w:t>
      </w:r>
      <w:r w:rsidRPr="009A09FD" w:rsidR="009C3413">
        <w:rPr>
          <w:snapToGrid w:val="0"/>
        </w:rPr>
        <w:t>Overall Coordinators</w:t>
      </w:r>
      <w:r w:rsidRPr="009A09FD" w:rsidR="00614676">
        <w:rPr>
          <w:snapToGrid w:val="0"/>
        </w:rPr>
        <w:t xml:space="preserve"> and the Joint Global Coordinators</w:t>
      </w:r>
      <w:r w:rsidRPr="009A09FD" w:rsidR="009C3413">
        <w:rPr>
          <w:snapToGrid w:val="0"/>
        </w:rPr>
        <w:t xml:space="preserve"> </w:t>
      </w:r>
      <w:r w:rsidRPr="009A09FD">
        <w:rPr>
          <w:snapToGrid w:val="0"/>
        </w:rPr>
        <w:t>may from time to time</w:t>
      </w:r>
      <w:r w:rsidRPr="009A09FD" w:rsidR="00456F59">
        <w:rPr>
          <w:snapToGrid w:val="0"/>
        </w:rPr>
        <w:t xml:space="preserve"> </w:t>
      </w:r>
      <w:r w:rsidRPr="009A09FD">
        <w:rPr>
          <w:snapToGrid w:val="0"/>
        </w:rPr>
        <w:t>request;</w:t>
      </w:r>
      <w:bookmarkEnd w:id="74"/>
    </w:p>
    <w:p w:rsidR="001C5107" w:rsidRPr="009A09FD" w:rsidP="003C6CDA" w14:paraId="376245FB" w14:textId="203B52F7">
      <w:pPr>
        <w:pStyle w:val="Heading3"/>
        <w:rPr>
          <w:snapToGrid w:val="0"/>
        </w:rPr>
      </w:pPr>
      <w:bookmarkStart w:id="75" w:name="_Ref367265592"/>
      <w:r w:rsidRPr="009A09FD">
        <w:rPr>
          <w:snapToGrid w:val="0"/>
        </w:rPr>
        <w:t xml:space="preserve">to advise the </w:t>
      </w:r>
      <w:r w:rsidRPr="009A09FD" w:rsidR="001A4C08">
        <w:rPr>
          <w:snapToGrid w:val="0"/>
        </w:rPr>
        <w:t>Overall Coordinators</w:t>
      </w:r>
      <w:r w:rsidRPr="009A09FD" w:rsidR="00614676">
        <w:rPr>
          <w:snapToGrid w:val="0"/>
        </w:rPr>
        <w:t xml:space="preserve"> and the Joint Global Coordinators (acting for themselves and on behalf of the International Underwriters)</w:t>
      </w:r>
      <w:r w:rsidRPr="009A09FD" w:rsidR="00285D26">
        <w:rPr>
          <w:snapToGrid w:val="0"/>
        </w:rPr>
        <w:t>, the Joint Bookrunners, the Joint Lead Managers</w:t>
      </w:r>
      <w:r w:rsidRPr="009A09FD" w:rsidR="00C93D11">
        <w:rPr>
          <w:snapToGrid w:val="0"/>
        </w:rPr>
        <w:t xml:space="preserve"> and the CMIs</w:t>
      </w:r>
      <w:r w:rsidRPr="009A09FD" w:rsidR="001A4C08">
        <w:rPr>
          <w:snapToGrid w:val="0"/>
        </w:rPr>
        <w:t xml:space="preserve"> </w:t>
      </w:r>
      <w:r w:rsidRPr="009A09FD">
        <w:rPr>
          <w:snapToGrid w:val="0"/>
        </w:rPr>
        <w:t xml:space="preserve">promptly if at any time prior to the later of the Option Expiration Date (as defined below) and the date on which the </w:t>
      </w:r>
      <w:r w:rsidRPr="009A09FD" w:rsidR="00614676">
        <w:rPr>
          <w:snapToGrid w:val="0"/>
        </w:rPr>
        <w:t xml:space="preserve">Overall Coordinators and the Joint Global Coordinators notify the Company that the </w:t>
      </w:r>
      <w:r w:rsidRPr="009A09FD">
        <w:rPr>
          <w:snapToGrid w:val="0"/>
        </w:rPr>
        <w:t>distribution of the Offer Shares is complete,</w:t>
      </w:r>
      <w:bookmarkEnd w:id="75"/>
    </w:p>
    <w:p w:rsidR="001C5107" w:rsidRPr="009A09FD" w:rsidP="003C6CDA" w14:paraId="50237BE2" w14:textId="3A60D417">
      <w:pPr>
        <w:pStyle w:val="Heading4"/>
        <w:rPr>
          <w:snapToGrid w:val="0"/>
        </w:rPr>
      </w:pPr>
      <w:bookmarkStart w:id="76" w:name="_Ref367265593"/>
      <w:r w:rsidRPr="009A09FD">
        <w:rPr>
          <w:snapToGrid w:val="0"/>
        </w:rPr>
        <w:t xml:space="preserve">any event shall occur or any circumstance shall exist which renders or could render untrue or inaccurate or misleading in any respect any of the representations and warranties and other statements of the </w:t>
      </w:r>
      <w:r w:rsidRPr="009A09FD">
        <w:rPr>
          <w:rFonts w:hint="eastAsia"/>
          <w:snapToGrid w:val="0"/>
        </w:rPr>
        <w:t>Warrantors</w:t>
      </w:r>
      <w:r w:rsidRPr="009A09FD">
        <w:rPr>
          <w:snapToGrid w:val="0"/>
        </w:rPr>
        <w:t xml:space="preserve"> herein;</w:t>
      </w:r>
      <w:bookmarkEnd w:id="76"/>
      <w:r w:rsidRPr="009A09FD">
        <w:rPr>
          <w:snapToGrid w:val="0"/>
        </w:rPr>
        <w:t xml:space="preserve"> or any event shall occur or any circumstance shall exist which </w:t>
      </w:r>
      <w:r w:rsidRPr="009A09FD" w:rsidR="009D2EF9">
        <w:rPr>
          <w:snapToGrid w:val="0"/>
        </w:rPr>
        <w:t xml:space="preserve">gives </w:t>
      </w:r>
      <w:r w:rsidRPr="009A09FD">
        <w:rPr>
          <w:snapToGrid w:val="0"/>
        </w:rPr>
        <w:t>rise or could give rise to a claim under any of the indemnities as contained in, or given pursuant to, this Agreement</w:t>
      </w:r>
      <w:r w:rsidRPr="009A09FD" w:rsidR="009D2EF9">
        <w:rPr>
          <w:snapToGrid w:val="0"/>
        </w:rPr>
        <w:t xml:space="preserve"> or the Hong Kong Underwriting Agreement</w:t>
      </w:r>
      <w:r w:rsidRPr="009A09FD">
        <w:rPr>
          <w:snapToGrid w:val="0"/>
        </w:rPr>
        <w:t>;</w:t>
      </w:r>
    </w:p>
    <w:p w:rsidR="001C5107" w:rsidRPr="009A09FD" w:rsidP="003C6CDA" w14:paraId="7C5474CD" w14:textId="56BBE366">
      <w:pPr>
        <w:pStyle w:val="Heading4"/>
        <w:rPr>
          <w:snapToGrid w:val="0"/>
        </w:rPr>
      </w:pPr>
      <w:bookmarkStart w:id="77" w:name="_Ref367265594"/>
      <w:r w:rsidRPr="009A09FD">
        <w:rPr>
          <w:snapToGrid w:val="0"/>
        </w:rPr>
        <w:t xml:space="preserve">any event shall occur or any circumstance shall exist as a result of which it is necessary, in the opinion of </w:t>
      </w:r>
      <w:r w:rsidRPr="009A09FD" w:rsidR="008600BC">
        <w:rPr>
          <w:snapToGrid w:val="0"/>
        </w:rPr>
        <w:t xml:space="preserve">the Overall Coordinators and the Joint Global Coordinators (acting for themselves and on behalf of the International Underwriters) or of </w:t>
      </w:r>
      <w:r w:rsidRPr="009A09FD">
        <w:rPr>
          <w:snapToGrid w:val="0"/>
        </w:rPr>
        <w:t xml:space="preserve">the Company or </w:t>
      </w:r>
      <w:r w:rsidRPr="009A09FD" w:rsidR="008600BC">
        <w:rPr>
          <w:snapToGrid w:val="0"/>
        </w:rPr>
        <w:t xml:space="preserve">their respective </w:t>
      </w:r>
      <w:r w:rsidRPr="009A09FD">
        <w:rPr>
          <w:snapToGrid w:val="0"/>
        </w:rPr>
        <w:t xml:space="preserve">counsel, to amend or supplement the Disclosure Package or the </w:t>
      </w:r>
      <w:r w:rsidRPr="009A09FD" w:rsidR="005F428E">
        <w:rPr>
          <w:snapToGrid w:val="0"/>
        </w:rPr>
        <w:t>Offering Circular</w:t>
      </w:r>
      <w:r w:rsidRPr="009A09FD">
        <w:rPr>
          <w:snapToGrid w:val="0"/>
        </w:rPr>
        <w:t xml:space="preserve"> so that the Disclosure Package or the </w:t>
      </w:r>
      <w:r w:rsidRPr="009A09FD" w:rsidR="005F428E">
        <w:rPr>
          <w:snapToGrid w:val="0"/>
        </w:rPr>
        <w:t>Offering Circular</w:t>
      </w:r>
      <w:r w:rsidRPr="009A09FD">
        <w:rPr>
          <w:snapToGrid w:val="0"/>
        </w:rPr>
        <w:t xml:space="preserve">, or any </w:t>
      </w:r>
      <w:r w:rsidRPr="009A09FD" w:rsidR="008600BC">
        <w:rPr>
          <w:snapToGrid w:val="0"/>
        </w:rPr>
        <w:t xml:space="preserve">amendment or supplement thereto or any </w:t>
      </w:r>
      <w:r w:rsidRPr="009A09FD">
        <w:rPr>
          <w:snapToGrid w:val="0"/>
        </w:rPr>
        <w:t xml:space="preserve">individual Supplemental Offering Material when considered together with the Disclosure Package or the </w:t>
      </w:r>
      <w:r w:rsidRPr="009A09FD" w:rsidR="005F428E">
        <w:rPr>
          <w:snapToGrid w:val="0"/>
        </w:rPr>
        <w:t>Offering Circular</w:t>
      </w:r>
      <w:r w:rsidRPr="009A09FD">
        <w:rPr>
          <w:snapToGrid w:val="0"/>
        </w:rPr>
        <w:t xml:space="preserve">, would not include any untrue statement of a material fact or omit to state any material fact necessary in order to make the statements therein, in the light of the circumstances under which they were made, not misleading; </w:t>
      </w:r>
      <w:bookmarkEnd w:id="77"/>
    </w:p>
    <w:p w:rsidR="001C5107" w:rsidRPr="009A09FD" w:rsidP="003C6CDA" w14:paraId="4F11C54C" w14:textId="60492C8F">
      <w:pPr>
        <w:pStyle w:val="Heading4"/>
        <w:rPr>
          <w:snapToGrid w:val="0"/>
        </w:rPr>
      </w:pPr>
      <w:bookmarkStart w:id="78" w:name="_Ref367265595"/>
      <w:r w:rsidRPr="009A09FD">
        <w:rPr>
          <w:snapToGrid w:val="0"/>
        </w:rPr>
        <w:t>it shall become necessary or</w:t>
      </w:r>
      <w:r w:rsidRPr="009A09FD" w:rsidR="00F86F8D">
        <w:rPr>
          <w:snapToGrid w:val="0"/>
        </w:rPr>
        <w:t xml:space="preserve"> </w:t>
      </w:r>
      <w:r w:rsidRPr="009A09FD">
        <w:rPr>
          <w:snapToGrid w:val="0"/>
        </w:rPr>
        <w:t xml:space="preserve">desirable for any other reason to amend or supplement the Disclosure Package or the </w:t>
      </w:r>
      <w:r w:rsidRPr="009A09FD" w:rsidR="005F428E">
        <w:rPr>
          <w:snapToGrid w:val="0"/>
        </w:rPr>
        <w:t>Offering Circular</w:t>
      </w:r>
      <w:r w:rsidRPr="009A09FD" w:rsidR="007F16CD">
        <w:rPr>
          <w:snapToGrid w:val="0"/>
        </w:rPr>
        <w:t>;</w:t>
      </w:r>
      <w:bookmarkEnd w:id="78"/>
      <w:r w:rsidRPr="009A09FD" w:rsidR="007F16CD">
        <w:rPr>
          <w:snapToGrid w:val="0"/>
        </w:rPr>
        <w:t xml:space="preserve"> or</w:t>
      </w:r>
    </w:p>
    <w:p w:rsidR="007F16CD" w:rsidRPr="009A09FD" w:rsidP="003C6CDA" w14:paraId="283F5CA2" w14:textId="60FFD208">
      <w:pPr>
        <w:pStyle w:val="Heading4"/>
        <w:rPr>
          <w:snapToGrid w:val="0"/>
        </w:rPr>
      </w:pPr>
      <w:bookmarkStart w:id="79" w:name="_Ref150352262"/>
      <w:r w:rsidRPr="009A09FD">
        <w:rPr>
          <w:snapToGrid w:val="0"/>
        </w:rPr>
        <w:t>any significant new factor likely to affect the International Offering or the Global Offering shall arise,</w:t>
      </w:r>
      <w:bookmarkEnd w:id="79"/>
    </w:p>
    <w:p w:rsidR="001C5107" w:rsidRPr="009A09FD" w:rsidP="003C6CDA" w14:paraId="77CAD2F1" w14:textId="37ADF2F3">
      <w:pPr>
        <w:pStyle w:val="BodyText2"/>
        <w:rPr>
          <w:snapToGrid w:val="0"/>
        </w:rPr>
      </w:pPr>
      <w:r w:rsidRPr="009A09FD">
        <w:rPr>
          <w:snapToGrid w:val="0"/>
        </w:rPr>
        <w:t xml:space="preserve">and, in each of the cases described in subsections </w:t>
      </w:r>
      <w:r w:rsidRPr="009A09FD">
        <w:rPr>
          <w:snapToGrid w:val="0"/>
        </w:rPr>
        <w:fldChar w:fldCharType="begin"/>
      </w:r>
      <w:r w:rsidRPr="009A09FD">
        <w:rPr>
          <w:snapToGrid w:val="0"/>
        </w:rPr>
        <w:instrText xml:space="preserve"> REF _Ref367265593 \r \h  \* MERGEFORMAT </w:instrText>
      </w:r>
      <w:r w:rsidRPr="009A09FD">
        <w:rPr>
          <w:snapToGrid w:val="0"/>
        </w:rPr>
        <w:fldChar w:fldCharType="separate"/>
      </w:r>
      <w:r w:rsidRPr="009A09FD" w:rsidR="00ED2E07">
        <w:rPr>
          <w:snapToGrid w:val="0"/>
        </w:rPr>
        <w:t>(i)</w:t>
      </w:r>
      <w:r w:rsidRPr="009A09FD">
        <w:rPr>
          <w:snapToGrid w:val="0"/>
        </w:rPr>
        <w:fldChar w:fldCharType="end"/>
      </w:r>
      <w:r w:rsidRPr="009A09FD">
        <w:rPr>
          <w:snapToGrid w:val="0"/>
        </w:rPr>
        <w:t xml:space="preserve"> to </w:t>
      </w:r>
      <w:r w:rsidRPr="009A09FD" w:rsidR="009D685F">
        <w:rPr>
          <w:snapToGrid w:val="0"/>
        </w:rPr>
        <w:fldChar w:fldCharType="begin"/>
      </w:r>
      <w:r w:rsidRPr="009A09FD" w:rsidR="009D685F">
        <w:rPr>
          <w:snapToGrid w:val="0"/>
        </w:rPr>
        <w:instrText xml:space="preserve"> REF _Ref150352262 \r \h </w:instrText>
      </w:r>
      <w:r w:rsidRPr="009A09FD" w:rsidR="00A469A2">
        <w:rPr>
          <w:snapToGrid w:val="0"/>
        </w:rPr>
        <w:instrText xml:space="preserve"> \* MERGEFORMAT </w:instrText>
      </w:r>
      <w:r w:rsidRPr="009A09FD" w:rsidR="009D685F">
        <w:rPr>
          <w:snapToGrid w:val="0"/>
        </w:rPr>
        <w:fldChar w:fldCharType="separate"/>
      </w:r>
      <w:r w:rsidRPr="009A09FD" w:rsidR="00ED2E07">
        <w:rPr>
          <w:snapToGrid w:val="0"/>
        </w:rPr>
        <w:t>(iv)</w:t>
      </w:r>
      <w:r w:rsidRPr="009A09FD" w:rsidR="009D685F">
        <w:rPr>
          <w:snapToGrid w:val="0"/>
        </w:rPr>
        <w:fldChar w:fldCharType="end"/>
      </w:r>
      <w:r w:rsidRPr="009A09FD">
        <w:rPr>
          <w:snapToGrid w:val="0"/>
        </w:rPr>
        <w:t xml:space="preserve"> above, the </w:t>
      </w:r>
      <w:r w:rsidRPr="009A09FD" w:rsidR="004A2F96">
        <w:rPr>
          <w:snapToGrid w:val="0"/>
        </w:rPr>
        <w:t>Overall Coordinators</w:t>
      </w:r>
      <w:r w:rsidRPr="009A09FD" w:rsidR="00AC2795">
        <w:rPr>
          <w:snapToGrid w:val="0"/>
        </w:rPr>
        <w:t xml:space="preserve"> and the Joint Global Coordinators</w:t>
      </w:r>
      <w:r w:rsidRPr="009A09FD">
        <w:rPr>
          <w:snapToGrid w:val="0"/>
        </w:rPr>
        <w:t xml:space="preserve">, in their sole and absolute discretion, may </w:t>
      </w:r>
      <w:r w:rsidRPr="009A09FD" w:rsidR="007F3395">
        <w:rPr>
          <w:snapToGrid w:val="0"/>
        </w:rPr>
        <w:t xml:space="preserve">(x) terminate this Agreement with regard to the Firm Shares and/or the Over-allotment Option Shares, as the case may be, in accordance with the provisions in this Agreement by giving notice to the Company; or (y) </w:t>
      </w:r>
      <w:r w:rsidRPr="009A09FD">
        <w:rPr>
          <w:snapToGrid w:val="0"/>
        </w:rPr>
        <w:t xml:space="preserve">agree with the Company to allow the sale and delivery of the Firm Shares and/or the Over-allotment Option Shares, as the case may be, contemplated by this Agreement to proceed on the basis of the Disclosure Package or the </w:t>
      </w:r>
      <w:r w:rsidRPr="009A09FD" w:rsidR="005F428E">
        <w:rPr>
          <w:snapToGrid w:val="0"/>
        </w:rPr>
        <w:t>Offering Circular</w:t>
      </w:r>
      <w:r w:rsidRPr="009A09FD">
        <w:rPr>
          <w:snapToGrid w:val="0"/>
        </w:rPr>
        <w:t xml:space="preserve"> (but subject to the Company promptly preparing, announcing, issuing, publishing, distributing, furnishing or otherwise making available, at the Company’s expense, such amendments or supplements to the Disclosure Package and the </w:t>
      </w:r>
      <w:r w:rsidRPr="009A09FD" w:rsidR="005F428E">
        <w:rPr>
          <w:snapToGrid w:val="0"/>
        </w:rPr>
        <w:t>Offering Circular</w:t>
      </w:r>
      <w:r w:rsidRPr="009A09FD">
        <w:rPr>
          <w:snapToGrid w:val="0"/>
        </w:rPr>
        <w:t xml:space="preserve"> as the </w:t>
      </w:r>
      <w:r w:rsidRPr="009A09FD" w:rsidR="00584514">
        <w:rPr>
          <w:snapToGrid w:val="0"/>
        </w:rPr>
        <w:t>Overall Coordinators</w:t>
      </w:r>
      <w:r w:rsidRPr="009A09FD" w:rsidR="00AC2795">
        <w:rPr>
          <w:snapToGrid w:val="0"/>
        </w:rPr>
        <w:t xml:space="preserve"> and the Joint Global Coordinators</w:t>
      </w:r>
      <w:r w:rsidRPr="009A09FD" w:rsidR="00584514">
        <w:rPr>
          <w:snapToGrid w:val="0"/>
        </w:rPr>
        <w:t xml:space="preserve"> </w:t>
      </w:r>
      <w:r w:rsidRPr="009A09FD">
        <w:rPr>
          <w:snapToGrid w:val="0"/>
        </w:rPr>
        <w:t>may</w:t>
      </w:r>
      <w:r w:rsidRPr="009A09FD" w:rsidR="00E3721D">
        <w:rPr>
          <w:snapToGrid w:val="0"/>
        </w:rPr>
        <w:t xml:space="preserve"> </w:t>
      </w:r>
      <w:r w:rsidRPr="009A09FD">
        <w:rPr>
          <w:snapToGrid w:val="0"/>
        </w:rPr>
        <w:t xml:space="preserve">require); </w:t>
      </w:r>
      <w:r w:rsidRPr="009A09FD">
        <w:rPr>
          <w:b/>
          <w:snapToGrid w:val="0"/>
        </w:rPr>
        <w:t>provided, however, that</w:t>
      </w:r>
      <w:r w:rsidRPr="009A09FD">
        <w:rPr>
          <w:snapToGrid w:val="0"/>
        </w:rPr>
        <w:t xml:space="preserve"> any amendment or supplement to the Disclosure Package or the </w:t>
      </w:r>
      <w:r w:rsidRPr="009A09FD" w:rsidR="005F428E">
        <w:rPr>
          <w:snapToGrid w:val="0"/>
        </w:rPr>
        <w:t>Offering Circular</w:t>
      </w:r>
      <w:r w:rsidRPr="009A09FD">
        <w:rPr>
          <w:snapToGrid w:val="0"/>
        </w:rPr>
        <w:t xml:space="preserve"> (whether made pursuant to this subsection </w:t>
      </w:r>
      <w:r w:rsidRPr="009A09FD">
        <w:rPr>
          <w:snapToGrid w:val="0"/>
        </w:rPr>
        <w:fldChar w:fldCharType="begin"/>
      </w:r>
      <w:r w:rsidRPr="009A09FD">
        <w:rPr>
          <w:snapToGrid w:val="0"/>
        </w:rPr>
        <w:instrText xml:space="preserve"> REF _Ref367265592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or otherwise) or any announcement, issue, publication or distribution, or delivery to investors, of such amendment or supplement or any consent by or knowledge of </w:t>
      </w:r>
      <w:r w:rsidRPr="009A09FD" w:rsidR="0076716B">
        <w:rPr>
          <w:snapToGrid w:val="0"/>
        </w:rPr>
        <w:t xml:space="preserve">the </w:t>
      </w:r>
      <w:r w:rsidRPr="009A09FD" w:rsidR="00B008A5">
        <w:rPr>
          <w:snapToGrid w:val="0"/>
        </w:rPr>
        <w:t xml:space="preserve">Joint Sponsors, </w:t>
      </w:r>
      <w:r w:rsidRPr="009A09FD">
        <w:rPr>
          <w:snapToGrid w:val="0"/>
        </w:rPr>
        <w:t xml:space="preserve">the </w:t>
      </w:r>
      <w:r w:rsidRPr="009A09FD" w:rsidR="009961E6">
        <w:rPr>
          <w:snapToGrid w:val="0"/>
        </w:rPr>
        <w:t>Overall Coordinators</w:t>
      </w:r>
      <w:r w:rsidRPr="009A09FD" w:rsidR="00AC2795">
        <w:rPr>
          <w:snapToGrid w:val="0"/>
        </w:rPr>
        <w:t xml:space="preserve"> and</w:t>
      </w:r>
      <w:r w:rsidRPr="009A09FD" w:rsidR="00B008A5">
        <w:rPr>
          <w:snapToGrid w:val="0"/>
        </w:rPr>
        <w:t>/or</w:t>
      </w:r>
      <w:r w:rsidRPr="009A09FD" w:rsidR="00AC2795">
        <w:rPr>
          <w:snapToGrid w:val="0"/>
        </w:rPr>
        <w:t xml:space="preserve"> the Joint Global Coordinators </w:t>
      </w:r>
      <w:r w:rsidRPr="009A09FD">
        <w:rPr>
          <w:snapToGrid w:val="0"/>
        </w:rPr>
        <w:t xml:space="preserve">of such amendment or supplement shall not in any event and notwithstanding any other provision hereof constitute a waiver or modification of any of the conditions precedent to the obligations of the International Underwriters as set forth in this Agreement or result in the loss of any rights hereunder of </w:t>
      </w:r>
      <w:r w:rsidRPr="009A09FD" w:rsidR="00B008A5">
        <w:rPr>
          <w:snapToGrid w:val="0"/>
        </w:rPr>
        <w:t>the Joint Sponsors, the Sponsor-OCs, the Overall Coordinators, the Joint Global Coordinators, the Joint Bookrunners, the Joint Lead Managers</w:t>
      </w:r>
      <w:r w:rsidRPr="009A09FD" w:rsidR="00032E94">
        <w:rPr>
          <w:snapToGrid w:val="0"/>
        </w:rPr>
        <w:t>, the CMIs</w:t>
      </w:r>
      <w:r w:rsidRPr="009A09FD" w:rsidR="00B008A5">
        <w:rPr>
          <w:snapToGrid w:val="0"/>
        </w:rPr>
        <w:t xml:space="preserve"> or the International Underwriters</w:t>
      </w:r>
      <w:r w:rsidRPr="009A09FD">
        <w:rPr>
          <w:snapToGrid w:val="0"/>
        </w:rPr>
        <w:t xml:space="preserve">, as the case may be, to terminate this Agreement </w:t>
      </w:r>
      <w:r w:rsidRPr="009A09FD">
        <w:rPr>
          <w:rFonts w:hint="eastAsia"/>
          <w:snapToGrid w:val="0"/>
        </w:rPr>
        <w:t xml:space="preserve">and/or seek indemnification or otherwise </w:t>
      </w:r>
      <w:r w:rsidRPr="009A09FD">
        <w:rPr>
          <w:snapToGrid w:val="0"/>
        </w:rPr>
        <w:t xml:space="preserve">prejudice any other rights of </w:t>
      </w:r>
      <w:r w:rsidRPr="009A09FD" w:rsidR="00B008A5">
        <w:rPr>
          <w:snapToGrid w:val="0"/>
        </w:rPr>
        <w:t>the Joint Sponsors, the Sponsor-OCs, the Overall Coordinators, the Joint Global Coordinators, the Joint Bookrunners, the Joint Lead Managers</w:t>
      </w:r>
      <w:r w:rsidRPr="009A09FD" w:rsidR="00032E94">
        <w:rPr>
          <w:snapToGrid w:val="0"/>
        </w:rPr>
        <w:t>, the CMIs</w:t>
      </w:r>
      <w:r w:rsidRPr="009A09FD" w:rsidR="00B008A5">
        <w:rPr>
          <w:snapToGrid w:val="0"/>
        </w:rPr>
        <w:t xml:space="preserve"> or the International Underwriters</w:t>
      </w:r>
      <w:r w:rsidRPr="009A09FD">
        <w:rPr>
          <w:snapToGrid w:val="0"/>
        </w:rPr>
        <w:t xml:space="preserve">, as the case may be, under this Agreement (in each case whether by reason of any misstatement or omission resulting in a prior breach of any of the representations and warranties and other statements of the </w:t>
      </w:r>
      <w:r w:rsidRPr="009A09FD">
        <w:rPr>
          <w:rFonts w:hint="eastAsia"/>
          <w:snapToGrid w:val="0"/>
        </w:rPr>
        <w:t>Warrantors</w:t>
      </w:r>
      <w:r w:rsidRPr="009A09FD">
        <w:rPr>
          <w:snapToGrid w:val="0"/>
        </w:rPr>
        <w:t xml:space="preserve"> herein or otherwise) (as used herein, “</w:t>
      </w:r>
      <w:r w:rsidRPr="009A09FD">
        <w:rPr>
          <w:b/>
          <w:snapToGrid w:val="0"/>
        </w:rPr>
        <w:t>Option Expiration Date</w:t>
      </w:r>
      <w:r w:rsidRPr="009A09FD">
        <w:rPr>
          <w:snapToGrid w:val="0"/>
        </w:rPr>
        <w:t>”</w:t>
      </w:r>
      <w:r w:rsidRPr="009A09FD">
        <w:rPr>
          <w:b/>
          <w:snapToGrid w:val="0"/>
        </w:rPr>
        <w:t xml:space="preserve"> </w:t>
      </w:r>
      <w:r w:rsidRPr="009A09FD">
        <w:rPr>
          <w:snapToGrid w:val="0"/>
        </w:rPr>
        <w:t>means the date falling thirty (30) calendar days after the last day for the lodging of applications under the Hong Kong Public Offering, being the last day of the period during which the Over-allotment Option can be exercised pursuant hereto);</w:t>
      </w:r>
    </w:p>
    <w:p w:rsidR="001C5107" w:rsidRPr="009A09FD" w:rsidP="003C6CDA" w14:paraId="3B0B5BB1" w14:textId="3116E1DB">
      <w:pPr>
        <w:pStyle w:val="Heading3"/>
        <w:rPr>
          <w:snapToGrid w:val="0"/>
        </w:rPr>
      </w:pPr>
      <w:bookmarkStart w:id="80" w:name="_Ref367265596"/>
      <w:r w:rsidRPr="009A09FD">
        <w:rPr>
          <w:snapToGrid w:val="0"/>
        </w:rPr>
        <w:t xml:space="preserve">to advise the </w:t>
      </w:r>
      <w:r w:rsidRPr="009A09FD" w:rsidR="006F6654">
        <w:rPr>
          <w:snapToGrid w:val="0"/>
        </w:rPr>
        <w:t xml:space="preserve">Joint Sponsors, </w:t>
      </w:r>
      <w:r w:rsidRPr="009A09FD" w:rsidR="009961E6">
        <w:rPr>
          <w:snapToGrid w:val="0"/>
        </w:rPr>
        <w:t>Overall Coordinators</w:t>
      </w:r>
      <w:r w:rsidRPr="009A09FD" w:rsidR="003321C7">
        <w:rPr>
          <w:snapToGrid w:val="0"/>
        </w:rPr>
        <w:t xml:space="preserve"> and Joint Global Coordinators</w:t>
      </w:r>
      <w:r w:rsidRPr="009A09FD" w:rsidR="009961E6">
        <w:rPr>
          <w:snapToGrid w:val="0"/>
        </w:rPr>
        <w:t xml:space="preserve"> </w:t>
      </w:r>
      <w:r w:rsidRPr="009A09FD">
        <w:rPr>
          <w:snapToGrid w:val="0"/>
        </w:rPr>
        <w:t>promptly, confirming such advice in writing, of any request by any means from any Authority in Hong Kong</w:t>
      </w:r>
      <w:r w:rsidRPr="009A09FD">
        <w:rPr>
          <w:rFonts w:hint="eastAsia"/>
          <w:snapToGrid w:val="0"/>
        </w:rPr>
        <w:t>,</w:t>
      </w:r>
      <w:r w:rsidRPr="009A09FD">
        <w:rPr>
          <w:snapToGrid w:val="0"/>
        </w:rPr>
        <w:t xml:space="preserve"> the PRC </w:t>
      </w:r>
      <w:r w:rsidRPr="009A09FD" w:rsidR="00635C48">
        <w:rPr>
          <w:snapToGrid w:val="0"/>
        </w:rPr>
        <w:t xml:space="preserve">(including the CSRC), </w:t>
      </w:r>
      <w:r w:rsidRPr="009A09FD" w:rsidR="00987A37">
        <w:rPr>
          <w:snapToGrid w:val="0"/>
        </w:rPr>
        <w:t>[</w:t>
      </w:r>
      <w:r w:rsidRPr="009A09FD" w:rsidR="00987A37">
        <w:rPr>
          <w:i/>
          <w:iCs/>
          <w:snapToGrid w:val="0"/>
        </w:rPr>
        <w:t>insert relevant jurisdiction(s)</w:t>
      </w:r>
      <w:r w:rsidRPr="009A09FD" w:rsidR="00987A37">
        <w:rPr>
          <w:snapToGrid w:val="0"/>
        </w:rPr>
        <w:t xml:space="preserve">] </w:t>
      </w:r>
      <w:r w:rsidRPr="009A09FD">
        <w:rPr>
          <w:rFonts w:hint="eastAsia"/>
          <w:snapToGrid w:val="0"/>
        </w:rPr>
        <w:t xml:space="preserve">or </w:t>
      </w:r>
      <w:r w:rsidRPr="009A09FD">
        <w:rPr>
          <w:snapToGrid w:val="0"/>
        </w:rPr>
        <w:t xml:space="preserve">any other </w:t>
      </w:r>
      <w:r w:rsidRPr="009A09FD" w:rsidR="00AD5981">
        <w:rPr>
          <w:snapToGrid w:val="0"/>
        </w:rPr>
        <w:t>Relevant Jurisdiction</w:t>
      </w:r>
      <w:r w:rsidRPr="009A09FD" w:rsidR="00B85544">
        <w:rPr>
          <w:snapToGrid w:val="0"/>
        </w:rPr>
        <w:t>s</w:t>
      </w:r>
      <w:r w:rsidRPr="009A09FD" w:rsidR="00AD5981">
        <w:rPr>
          <w:snapToGrid w:val="0"/>
        </w:rPr>
        <w:t xml:space="preserve"> (as defined below)</w:t>
      </w:r>
      <w:r w:rsidRPr="009A09FD">
        <w:rPr>
          <w:snapToGrid w:val="0"/>
        </w:rPr>
        <w:t xml:space="preserve"> for amendments or supplements to the Disclosure Package or the </w:t>
      </w:r>
      <w:r w:rsidRPr="009A09FD" w:rsidR="005F428E">
        <w:rPr>
          <w:snapToGrid w:val="0"/>
        </w:rPr>
        <w:t>Offering Circular</w:t>
      </w:r>
      <w:r w:rsidRPr="009A09FD">
        <w:rPr>
          <w:snapToGrid w:val="0"/>
        </w:rPr>
        <w:t xml:space="preserve"> or for additional information with respect thereto, or of any notice of </w:t>
      </w:r>
      <w:r w:rsidRPr="009A09FD" w:rsidR="00230018">
        <w:rPr>
          <w:snapToGrid w:val="0"/>
        </w:rPr>
        <w:t xml:space="preserve">the initiation or threatening </w:t>
      </w:r>
      <w:r w:rsidRPr="009A09FD">
        <w:rPr>
          <w:snapToGrid w:val="0"/>
        </w:rPr>
        <w:t xml:space="preserve">of proceedings for, or the entry of a stop or other order, suspending the qualification or exemption from qualification of any of the Offer </w:t>
      </w:r>
      <w:r w:rsidRPr="009A09FD">
        <w:rPr>
          <w:rFonts w:hint="eastAsia"/>
          <w:snapToGrid w:val="0"/>
        </w:rPr>
        <w:t>Share</w:t>
      </w:r>
      <w:r w:rsidRPr="009A09FD">
        <w:rPr>
          <w:snapToGrid w:val="0"/>
        </w:rPr>
        <w:t>s for offering or sale in any jurisdiction, and if at any time any Authority in Hong Kong</w:t>
      </w:r>
      <w:r w:rsidRPr="009A09FD">
        <w:rPr>
          <w:rFonts w:hint="eastAsia"/>
          <w:snapToGrid w:val="0"/>
        </w:rPr>
        <w:t>,</w:t>
      </w:r>
      <w:r w:rsidRPr="009A09FD">
        <w:rPr>
          <w:snapToGrid w:val="0"/>
        </w:rPr>
        <w:t xml:space="preserve"> the PRC</w:t>
      </w:r>
      <w:r w:rsidRPr="009A09FD" w:rsidR="00987A37">
        <w:rPr>
          <w:snapToGrid w:val="0"/>
        </w:rPr>
        <w:t>, [</w:t>
      </w:r>
      <w:r w:rsidRPr="009A09FD" w:rsidR="00987A37">
        <w:rPr>
          <w:i/>
          <w:iCs/>
          <w:snapToGrid w:val="0"/>
        </w:rPr>
        <w:t>insert relevant jurisdiction(s)</w:t>
      </w:r>
      <w:r w:rsidRPr="009A09FD" w:rsidR="00987A37">
        <w:rPr>
          <w:snapToGrid w:val="0"/>
        </w:rPr>
        <w:t>]</w:t>
      </w:r>
      <w:r w:rsidRPr="009A09FD">
        <w:rPr>
          <w:snapToGrid w:val="0"/>
        </w:rPr>
        <w:t xml:space="preserve"> </w:t>
      </w:r>
      <w:r w:rsidRPr="009A09FD">
        <w:rPr>
          <w:rFonts w:hint="eastAsia"/>
          <w:snapToGrid w:val="0"/>
        </w:rPr>
        <w:t xml:space="preserve">or </w:t>
      </w:r>
      <w:r w:rsidRPr="009A09FD">
        <w:rPr>
          <w:snapToGrid w:val="0"/>
        </w:rPr>
        <w:t xml:space="preserve">any other </w:t>
      </w:r>
      <w:r w:rsidRPr="009A09FD" w:rsidR="00183189">
        <w:rPr>
          <w:snapToGrid w:val="0"/>
        </w:rPr>
        <w:t>Relevant Jurisdiction</w:t>
      </w:r>
      <w:r w:rsidRPr="009A09FD" w:rsidR="00B85544">
        <w:rPr>
          <w:snapToGrid w:val="0"/>
        </w:rPr>
        <w:t>s</w:t>
      </w:r>
      <w:r w:rsidRPr="009A09FD">
        <w:rPr>
          <w:snapToGrid w:val="0"/>
        </w:rPr>
        <w:t xml:space="preserve"> shall issue such stop or other order, to use its </w:t>
      </w:r>
      <w:r w:rsidRPr="009A09FD" w:rsidR="007F3395">
        <w:rPr>
          <w:snapToGrid w:val="0"/>
        </w:rPr>
        <w:t>best</w:t>
      </w:r>
      <w:r w:rsidRPr="009A09FD" w:rsidR="00E3721D">
        <w:rPr>
          <w:snapToGrid w:val="0"/>
        </w:rPr>
        <w:t xml:space="preserve"> </w:t>
      </w:r>
      <w:r w:rsidRPr="009A09FD">
        <w:rPr>
          <w:snapToGrid w:val="0"/>
        </w:rPr>
        <w:t>efforts to obtain the withdrawal or lifting of such order as soon as possible;</w:t>
      </w:r>
      <w:bookmarkEnd w:id="80"/>
    </w:p>
    <w:p w:rsidR="00ED2E07" w:rsidRPr="009A09FD" w:rsidP="003C6CDA" w14:paraId="70229CF3" w14:textId="10C39CD0">
      <w:pPr>
        <w:pStyle w:val="Heading3"/>
        <w:rPr>
          <w:snapToGrid w:val="0"/>
        </w:rPr>
      </w:pPr>
      <w:bookmarkStart w:id="81" w:name="_Ref150417704"/>
      <w:bookmarkStart w:id="82" w:name="_Ref367265599"/>
      <w:r w:rsidRPr="009A09FD">
        <w:rPr>
          <w:snapToGrid w:val="0"/>
        </w:rPr>
        <w:t>to immediately notify the</w:t>
      </w:r>
      <w:r w:rsidRPr="009A09FD" w:rsidR="00963362">
        <w:rPr>
          <w:snapToGrid w:val="0"/>
        </w:rPr>
        <w:t xml:space="preserve"> Joint Sponsors, the</w:t>
      </w:r>
      <w:r w:rsidRPr="009A09FD">
        <w:rPr>
          <w:snapToGrid w:val="0"/>
        </w:rPr>
        <w:t xml:space="preserve"> Overall Coordinators and the Joint Global Coordinators of any filing made by the Company of information relating to the International Offering or any communications with any securities exchange or any other regulatory body in the [</w:t>
      </w:r>
      <w:r w:rsidRPr="009A09FD" w:rsidR="00987A37">
        <w:rPr>
          <w:snapToGrid w:val="0"/>
        </w:rPr>
        <w:t>Hong Kong, the PRC, [</w:t>
      </w:r>
      <w:r w:rsidRPr="009A09FD" w:rsidR="00987A37">
        <w:rPr>
          <w:i/>
          <w:iCs/>
          <w:snapToGrid w:val="0"/>
        </w:rPr>
        <w:t>insert relevant jurisdiction(s)</w:t>
      </w:r>
      <w:r w:rsidRPr="009A09FD" w:rsidR="00987A37">
        <w:rPr>
          <w:snapToGrid w:val="0"/>
        </w:rPr>
        <w:t>]</w:t>
      </w:r>
      <w:r w:rsidRPr="009A09FD">
        <w:rPr>
          <w:snapToGrid w:val="0"/>
        </w:rPr>
        <w:t xml:space="preserve"> at any time prior to the later of the Option Expiration Date and the date upon which the Overall Coordinators </w:t>
      </w:r>
      <w:r w:rsidRPr="009A09FD" w:rsidR="00C1251B">
        <w:rPr>
          <w:snapToGrid w:val="0"/>
        </w:rPr>
        <w:t xml:space="preserve">and the Joint Global Coordinators </w:t>
      </w:r>
      <w:r w:rsidRPr="009A09FD">
        <w:rPr>
          <w:snapToGrid w:val="0"/>
        </w:rPr>
        <w:t>notify the Company in writing that the distribution is complete;</w:t>
      </w:r>
    </w:p>
    <w:p w:rsidR="00861971" w:rsidRPr="009A09FD" w:rsidP="003C6CDA" w14:paraId="44F36E3E" w14:textId="55E35A3C">
      <w:pPr>
        <w:pStyle w:val="Heading3"/>
        <w:rPr>
          <w:snapToGrid w:val="0"/>
        </w:rPr>
      </w:pPr>
      <w:r w:rsidRPr="009A09FD">
        <w:rPr>
          <w:snapToGrid w:val="0"/>
        </w:rPr>
        <w:t xml:space="preserve">to comply with (and the Company hereby confirms that it has duly complied with) the terms and conditions of the Global Offering and all obligations imposed upon it by the Companies Ordinance, the </w:t>
      </w:r>
      <w:r w:rsidRPr="009A09FD" w:rsidR="004B314D">
        <w:rPr>
          <w:snapToGrid w:val="0"/>
        </w:rPr>
        <w:t>C(WUMP)O</w:t>
      </w:r>
      <w:r w:rsidRPr="009A09FD">
        <w:rPr>
          <w:snapToGrid w:val="0"/>
        </w:rPr>
        <w:t xml:space="preserve">, the Listing Rules, the CSRC Rules and all requirements of the Stock Exchange, the SFC, the CSRC or any Authority in respect of or by reason of the matters contemplated by this Agreement and otherwise with the Global Offering, including, without limitation: (i) cooperating with and fully assisting, and procuring members of the Group, </w:t>
      </w:r>
      <w:r w:rsidRPr="009A09FD" w:rsidR="00575E22">
        <w:rPr>
          <w:snapToGrid w:val="0"/>
        </w:rPr>
        <w:t xml:space="preserve">the </w:t>
      </w:r>
      <w:r w:rsidRPr="009A09FD" w:rsidR="00703F6D">
        <w:rPr>
          <w:snapToGrid w:val="0"/>
        </w:rPr>
        <w:t>Warranting Shareholders</w:t>
      </w:r>
      <w:r w:rsidRPr="009A09FD">
        <w:rPr>
          <w:snapToGrid w:val="0"/>
        </w:rPr>
        <w:t>, and/or any of their respective directors, officers, employees, affiliates, agents, advisers, reporting accountants, auditors, legal counsels and other relevant parties engaged by the Company in connection with the Global Offering to cooperate with and fully assist in a timely manner, each of Joint Sponsors, the Overall Coordinators</w:t>
      </w:r>
      <w:r w:rsidRPr="009A09FD" w:rsidR="00D60C74">
        <w:rPr>
          <w:snapToGrid w:val="0"/>
        </w:rPr>
        <w:t>,</w:t>
      </w:r>
      <w:r w:rsidRPr="009A09FD">
        <w:rPr>
          <w:snapToGrid w:val="0"/>
        </w:rPr>
        <w:t xml:space="preserve"> the </w:t>
      </w:r>
      <w:r w:rsidRPr="009A09FD" w:rsidR="001C1E4A">
        <w:rPr>
          <w:snapToGrid w:val="0"/>
        </w:rPr>
        <w:t>CMIs</w:t>
      </w:r>
      <w:r w:rsidRPr="009A09FD" w:rsidR="00D60C74">
        <w:rPr>
          <w:snapToGrid w:val="0"/>
        </w:rPr>
        <w:t xml:space="preserve"> and the Underwriters</w:t>
      </w:r>
      <w:r w:rsidRPr="009A09FD">
        <w:rPr>
          <w:snapToGrid w:val="0"/>
        </w:rPr>
        <w:t>, to facilitate its performance of its duties, as the case may be, as a sponsor, an Overall Coordinator, a Sponsor-</w:t>
      </w:r>
      <w:r w:rsidRPr="009A09FD" w:rsidR="00990240">
        <w:rPr>
          <w:snapToGrid w:val="0"/>
        </w:rPr>
        <w:t>OC</w:t>
      </w:r>
      <w:r w:rsidRPr="009A09FD" w:rsidR="005E7E8F">
        <w:rPr>
          <w:snapToGrid w:val="0"/>
        </w:rPr>
        <w:t>s</w:t>
      </w:r>
      <w:r w:rsidRPr="009A09FD">
        <w:rPr>
          <w:snapToGrid w:val="0"/>
        </w:rPr>
        <w:t xml:space="preserve"> and/or a </w:t>
      </w:r>
      <w:r w:rsidRPr="009A09FD" w:rsidR="001C1E4A">
        <w:rPr>
          <w:snapToGrid w:val="0"/>
        </w:rPr>
        <w:t>CMI</w:t>
      </w:r>
      <w:r w:rsidRPr="009A09FD">
        <w:rPr>
          <w:snapToGrid w:val="0"/>
        </w:rPr>
        <w:t xml:space="preserve"> and to meet its obligations and responsibilities under all applicable laws, regulations, rules and regulatory requirements (whether having the force of law or otherwise) from time to time in force, including, without limitation, the Code of Conduct, the Listing Rules and the CSRC Rules; and (ii) giving every assistance, and procuring the members of the Group, </w:t>
      </w:r>
      <w:r w:rsidRPr="009A09FD" w:rsidR="00952D58">
        <w:rPr>
          <w:snapToGrid w:val="0"/>
        </w:rPr>
        <w:t xml:space="preserve">the </w:t>
      </w:r>
      <w:r w:rsidRPr="009A09FD" w:rsidR="00096C80">
        <w:rPr>
          <w:snapToGrid w:val="0"/>
        </w:rPr>
        <w:t>Warranting Shareholders</w:t>
      </w:r>
      <w:r w:rsidRPr="009A09FD" w:rsidR="001D3358">
        <w:rPr>
          <w:snapToGrid w:val="0"/>
        </w:rPr>
        <w:t>,</w:t>
      </w:r>
      <w:r w:rsidRPr="009A09FD">
        <w:rPr>
          <w:snapToGrid w:val="0"/>
        </w:rPr>
        <w:t xml:space="preserve"> and/or any of their respective directors, officers, employees, affiliates, agents, advisers, reporting accountants, auditors, legal counsels and other relevant parties engaged by the Company in connection with the Global Offering to give every assistance</w:t>
      </w:r>
      <w:r w:rsidRPr="009A09FD" w:rsidR="001D3358">
        <w:rPr>
          <w:snapToGrid w:val="0"/>
        </w:rPr>
        <w:t>,</w:t>
      </w:r>
      <w:r w:rsidRPr="009A09FD">
        <w:rPr>
          <w:snapToGrid w:val="0"/>
        </w:rPr>
        <w:t xml:space="preserve"> to each of </w:t>
      </w:r>
      <w:r w:rsidRPr="009A09FD" w:rsidR="005876CE">
        <w:rPr>
          <w:snapToGrid w:val="0"/>
        </w:rPr>
        <w:t>the Joint Sponsors, the Sponsor-OCs, the Overall Coordinators, the Joint Global Coordinators, the Joint Bookrunners, the Joint Lead Managers</w:t>
      </w:r>
      <w:r w:rsidRPr="009A09FD" w:rsidR="00152862">
        <w:rPr>
          <w:snapToGrid w:val="0"/>
        </w:rPr>
        <w:t>, the CMIs</w:t>
      </w:r>
      <w:r w:rsidRPr="009A09FD" w:rsidR="005876CE">
        <w:rPr>
          <w:snapToGrid w:val="0"/>
        </w:rPr>
        <w:t xml:space="preserve"> and the Underwriters</w:t>
      </w:r>
      <w:r w:rsidRPr="009A09FD">
        <w:rPr>
          <w:snapToGrid w:val="0"/>
        </w:rPr>
        <w:t xml:space="preserve">, to meet its obligations and responsibilities to provide materials, information and documents to the Stock Exchange, the SFC, the CSRC and other regulators under the Code of Conduct (including without limitation all materials and information as specified under 21.3 and 21.4 thereof), the Listing Rules (including without limitation Chapter </w:t>
      </w:r>
      <w:r w:rsidRPr="009A09FD" w:rsidR="009156DE">
        <w:rPr>
          <w:snapToGrid w:val="0"/>
        </w:rPr>
        <w:t>3A</w:t>
      </w:r>
      <w:r w:rsidRPr="009A09FD">
        <w:rPr>
          <w:snapToGrid w:val="0"/>
        </w:rPr>
        <w:t xml:space="preserve"> and paragraph 19 of Appendix 6 thereof)</w:t>
      </w:r>
      <w:r w:rsidRPr="009A09FD" w:rsidR="007F3395">
        <w:rPr>
          <w:snapToGrid w:val="0"/>
        </w:rPr>
        <w:t>,</w:t>
      </w:r>
      <w:r w:rsidRPr="009A09FD" w:rsidR="001D3358">
        <w:rPr>
          <w:snapToGrid w:val="0"/>
        </w:rPr>
        <w:t xml:space="preserve"> </w:t>
      </w:r>
      <w:r w:rsidRPr="009A09FD">
        <w:rPr>
          <w:snapToGrid w:val="0"/>
        </w:rPr>
        <w:t>the CSRC Rules</w:t>
      </w:r>
      <w:r w:rsidRPr="009A09FD" w:rsidR="007F3395">
        <w:rPr>
          <w:snapToGrid w:val="0"/>
        </w:rPr>
        <w:t xml:space="preserve"> and other applicable Laws</w:t>
      </w:r>
      <w:r w:rsidRPr="009A09FD">
        <w:rPr>
          <w:snapToGrid w:val="0"/>
        </w:rPr>
        <w:t>;</w:t>
      </w:r>
      <w:r w:rsidRPr="009A09FD" w:rsidR="007619B9">
        <w:rPr>
          <w:snapToGrid w:val="0"/>
        </w:rPr>
        <w:t xml:space="preserve"> </w:t>
      </w:r>
      <w:bookmarkEnd w:id="81"/>
    </w:p>
    <w:p w:rsidR="00861971" w:rsidRPr="009A09FD" w:rsidP="003C6CDA" w14:paraId="49D92CB8" w14:textId="0E099B2C">
      <w:pPr>
        <w:pStyle w:val="Heading3"/>
        <w:rPr>
          <w:snapToGrid w:val="0"/>
        </w:rPr>
      </w:pPr>
      <w:bookmarkStart w:id="83" w:name="_Ref150417953"/>
      <w:r w:rsidRPr="009A09FD">
        <w:rPr>
          <w:snapToGrid w:val="0"/>
        </w:rPr>
        <w:t>where there is any material information that is required to be reported to the CSRC</w:t>
      </w:r>
      <w:r w:rsidRPr="009A09FD" w:rsidR="0071739D">
        <w:rPr>
          <w:snapToGrid w:val="0"/>
        </w:rPr>
        <w:t xml:space="preserve"> </w:t>
      </w:r>
      <w:r w:rsidRPr="009A09FD">
        <w:rPr>
          <w:snapToGrid w:val="0"/>
        </w:rPr>
        <w:t xml:space="preserve">pursuant to the applicable Laws (including, without limitation, the CSRC Filing Rules), to promptly notify the CSRC or the relevant PRC Authority and provide it with such material information in accordance with the applicable Laws, and to promptly notify the Overall Coordinators </w:t>
      </w:r>
      <w:r w:rsidRPr="009A09FD" w:rsidR="003E5094">
        <w:rPr>
          <w:snapToGrid w:val="0"/>
        </w:rPr>
        <w:t xml:space="preserve">and the Joint Global Coordinators </w:t>
      </w:r>
      <w:r w:rsidRPr="009A09FD">
        <w:rPr>
          <w:snapToGrid w:val="0"/>
        </w:rPr>
        <w:t>(for themselves and on behalf of the International Underwriters) of such material information to the extent permitted by the applicable Laws;</w:t>
      </w:r>
      <w:bookmarkEnd w:id="83"/>
    </w:p>
    <w:p w:rsidR="00861971" w:rsidRPr="009A09FD" w:rsidP="003C6CDA" w14:paraId="2B9573C6" w14:textId="2192A5A0">
      <w:pPr>
        <w:pStyle w:val="Heading3"/>
        <w:rPr>
          <w:snapToGrid w:val="0"/>
        </w:rPr>
      </w:pPr>
      <w:r w:rsidRPr="009A09FD">
        <w:rPr>
          <w:snapToGrid w:val="0"/>
        </w:rPr>
        <w:t>to comply (and the Company hereby confirms that i</w:t>
      </w:r>
      <w:r w:rsidRPr="009A09FD" w:rsidR="00D32B8D">
        <w:rPr>
          <w:snapToGrid w:val="0"/>
        </w:rPr>
        <w:t>t</w:t>
      </w:r>
      <w:r w:rsidRPr="009A09FD">
        <w:rPr>
          <w:snapToGrid w:val="0"/>
        </w:rPr>
        <w:t xml:space="preserve"> has duly complied with) with </w:t>
      </w:r>
      <w:r w:rsidRPr="009A09FD" w:rsidR="00C102B4">
        <w:rPr>
          <w:snapToGrid w:val="0"/>
        </w:rPr>
        <w:t xml:space="preserve">the </w:t>
      </w:r>
      <w:r w:rsidRPr="009A09FD">
        <w:rPr>
          <w:snapToGrid w:val="0"/>
        </w:rPr>
        <w:t>Listing Rules, the CSRC Rules, and/or any other applicable Laws, including to disclose by way of announcement or otherwise and disseminate to the public, under certain circumstances, information affecting any forecast</w:t>
      </w:r>
      <w:r w:rsidRPr="009A09FD" w:rsidR="00C102B4">
        <w:rPr>
          <w:snapToGrid w:val="0"/>
        </w:rPr>
        <w:t xml:space="preserve"> estimated</w:t>
      </w:r>
      <w:r w:rsidRPr="009A09FD">
        <w:rPr>
          <w:snapToGrid w:val="0"/>
        </w:rPr>
        <w:t xml:space="preserve"> financial information contained in each of </w:t>
      </w:r>
      <w:r w:rsidRPr="009A09FD" w:rsidR="00C102B4">
        <w:rPr>
          <w:snapToGrid w:val="0"/>
        </w:rPr>
        <w:t xml:space="preserve">the Hong Kong Prospectus, </w:t>
      </w:r>
      <w:r w:rsidRPr="009A09FD">
        <w:rPr>
          <w:snapToGrid w:val="0"/>
        </w:rPr>
        <w:t xml:space="preserve">the Disclosure Package and the </w:t>
      </w:r>
      <w:r w:rsidRPr="009A09FD" w:rsidR="005F428E">
        <w:rPr>
          <w:snapToGrid w:val="0"/>
        </w:rPr>
        <w:t>Offering Circular</w:t>
      </w:r>
      <w:r w:rsidRPr="009A09FD">
        <w:rPr>
          <w:snapToGrid w:val="0"/>
        </w:rPr>
        <w:t xml:space="preserve"> and any information so required by the Stock Exchange, the Listing Rules, the CSRC Rules, and/or any other applicable Laws or Authority to be disclosed and disseminated to the public by the Company; provided, however, that</w:t>
      </w:r>
      <w:r w:rsidRPr="009A09FD" w:rsidR="00121B0E">
        <w:rPr>
          <w:snapToGrid w:val="0"/>
        </w:rPr>
        <w:t xml:space="preserve">, </w:t>
      </w:r>
      <w:r w:rsidRPr="009A09FD">
        <w:rPr>
          <w:snapToGrid w:val="0"/>
        </w:rPr>
        <w:t xml:space="preserve">no such disclosure shall be made by the Company without first having been submitted to </w:t>
      </w:r>
      <w:r w:rsidRPr="009A09FD" w:rsidR="00FC604F">
        <w:rPr>
          <w:snapToGrid w:val="0"/>
        </w:rPr>
        <w:t xml:space="preserve">the </w:t>
      </w:r>
      <w:r w:rsidRPr="009A09FD" w:rsidR="005876CE">
        <w:rPr>
          <w:snapToGrid w:val="0"/>
        </w:rPr>
        <w:t xml:space="preserve">Joint Sponsors, </w:t>
      </w:r>
      <w:r w:rsidRPr="009A09FD">
        <w:rPr>
          <w:snapToGrid w:val="0"/>
        </w:rPr>
        <w:t>the Overall Coordinators</w:t>
      </w:r>
      <w:r w:rsidRPr="009A09FD" w:rsidR="005876CE">
        <w:rPr>
          <w:snapToGrid w:val="0"/>
        </w:rPr>
        <w:t xml:space="preserve"> and</w:t>
      </w:r>
      <w:r w:rsidRPr="009A09FD" w:rsidR="00990240">
        <w:rPr>
          <w:snapToGrid w:val="0"/>
        </w:rPr>
        <w:t xml:space="preserve"> </w:t>
      </w:r>
      <w:r w:rsidRPr="009A09FD" w:rsidR="003321C7">
        <w:rPr>
          <w:snapToGrid w:val="0"/>
        </w:rPr>
        <w:t xml:space="preserve">the Joint Global Coordinators </w:t>
      </w:r>
      <w:r w:rsidRPr="009A09FD">
        <w:rPr>
          <w:snapToGrid w:val="0"/>
        </w:rPr>
        <w:t xml:space="preserve">for their review not less than </w:t>
      </w:r>
      <w:r w:rsidRPr="009A09FD" w:rsidR="003F2526">
        <w:rPr>
          <w:snapToGrid w:val="0"/>
        </w:rPr>
        <w:t>[</w:t>
      </w:r>
      <w:r w:rsidRPr="009A09FD" w:rsidR="002020B8">
        <w:rPr>
          <w:snapToGrid w:val="0"/>
        </w:rPr>
        <w:t>three</w:t>
      </w:r>
      <w:r w:rsidRPr="009A09FD" w:rsidR="003F2526">
        <w:rPr>
          <w:snapToGrid w:val="0"/>
        </w:rPr>
        <w:t>]</w:t>
      </w:r>
      <w:r w:rsidRPr="009A09FD" w:rsidR="002020B8">
        <w:rPr>
          <w:snapToGrid w:val="0"/>
        </w:rPr>
        <w:t xml:space="preserve"> </w:t>
      </w:r>
      <w:r w:rsidRPr="009A09FD">
        <w:rPr>
          <w:snapToGrid w:val="0"/>
        </w:rPr>
        <w:t>business days prior to such issuance;</w:t>
      </w:r>
    </w:p>
    <w:p w:rsidR="00861971" w:rsidRPr="009A09FD" w:rsidP="003C6CDA" w14:paraId="1F87401C" w14:textId="375242B7">
      <w:pPr>
        <w:pStyle w:val="Heading3"/>
        <w:rPr>
          <w:snapToGrid w:val="0"/>
        </w:rPr>
      </w:pPr>
      <w:bookmarkStart w:id="84" w:name="_Ref150417744"/>
      <w:r w:rsidRPr="009A09FD">
        <w:rPr>
          <w:snapToGrid w:val="0"/>
        </w:rPr>
        <w:t xml:space="preserve">to comply with all the requirements set out in the notification with respect to the CSRC Filings of the Company issued by the CSRC on </w:t>
      </w:r>
      <w:r w:rsidRPr="009A09FD" w:rsidR="00A2252B">
        <w:rPr>
          <w:b/>
          <w:bCs/>
          <w:snapToGrid w:val="0"/>
        </w:rPr>
        <w:t>[</w:t>
      </w:r>
      <w:r w:rsidRPr="009A09FD" w:rsidR="00B93695">
        <w:rPr>
          <w:b/>
          <w:bCs/>
          <w:snapToGrid w:val="0"/>
        </w:rPr>
        <w:t>I</w:t>
      </w:r>
      <w:r w:rsidRPr="009A09FD" w:rsidR="00A2252B">
        <w:rPr>
          <w:b/>
          <w:bCs/>
          <w:snapToGrid w:val="0"/>
        </w:rPr>
        <w:t>nsert date]</w:t>
      </w:r>
      <w:r w:rsidRPr="009A09FD" w:rsidR="001B1AF9">
        <w:rPr>
          <w:snapToGrid w:val="0"/>
        </w:rPr>
        <w:t>;</w:t>
      </w:r>
      <w:bookmarkEnd w:id="84"/>
    </w:p>
    <w:p w:rsidR="00861971" w:rsidRPr="009A09FD" w:rsidP="003C6CDA" w14:paraId="22B32919" w14:textId="77777777">
      <w:pPr>
        <w:pStyle w:val="Heading3"/>
        <w:rPr>
          <w:snapToGrid w:val="0"/>
        </w:rPr>
      </w:pPr>
      <w:r w:rsidRPr="009A09FD">
        <w:rPr>
          <w:snapToGrid w:val="0"/>
        </w:rPr>
        <w:t>to comply with all the applicable Laws (including, without limitation, the CSRC Archive Rules) in connection with (A) the establishment and maintenance of adequate and effective internal control measures and internal systems for maintenance of data protection, confidentiality and archive administration; (B) the relevant requirements and approval and filing procedures in connection with its handling, disclosure, transfer and retention of transfer of state secrets and working secrets of government agencies or any other documents or materials that would otherwise be detrimental to national securities or public interest (the “</w:t>
      </w:r>
      <w:r w:rsidRPr="009A09FD">
        <w:rPr>
          <w:b/>
          <w:bCs/>
          <w:snapToGrid w:val="0"/>
        </w:rPr>
        <w:t>Relevant Information</w:t>
      </w:r>
      <w:r w:rsidRPr="009A09FD">
        <w:rPr>
          <w:snapToGrid w:val="0"/>
        </w:rPr>
        <w:t>”); and (C) maintenance of confidentiality of any Relevant Information;</w:t>
      </w:r>
    </w:p>
    <w:p w:rsidR="001C5107" w:rsidRPr="009A09FD" w:rsidP="003C6CDA" w14:paraId="711EA7C0" w14:textId="7F413E63">
      <w:pPr>
        <w:pStyle w:val="Heading3"/>
        <w:rPr>
          <w:snapToGrid w:val="0"/>
        </w:rPr>
      </w:pPr>
      <w:r w:rsidRPr="009A09FD">
        <w:rPr>
          <w:snapToGrid w:val="0"/>
        </w:rPr>
        <w:t xml:space="preserve">to maintain accounting and management systems that are relevant </w:t>
      </w:r>
      <w:bookmarkStart w:id="85" w:name="DocXTextRef44"/>
      <w:r w:rsidRPr="009A09FD">
        <w:rPr>
          <w:snapToGrid w:val="0"/>
        </w:rPr>
        <w:t>(A)</w:t>
      </w:r>
      <w:bookmarkEnd w:id="85"/>
      <w:r w:rsidRPr="009A09FD">
        <w:rPr>
          <w:snapToGrid w:val="0"/>
        </w:rPr>
        <w:t xml:space="preserve"> to the obligations of the Company and its directors to comply with the Listing Rules and other legal and regulatory requirements, in particular financial reporting, disclosure of </w:t>
      </w:r>
      <w:r w:rsidRPr="009A09FD">
        <w:rPr>
          <w:rFonts w:hint="eastAsia"/>
          <w:snapToGrid w:val="0"/>
        </w:rPr>
        <w:t>price sensitive</w:t>
      </w:r>
      <w:r w:rsidRPr="009A09FD">
        <w:rPr>
          <w:snapToGrid w:val="0"/>
        </w:rPr>
        <w:t xml:space="preserve"> information and notifiable and connected transaction requirements and </w:t>
      </w:r>
      <w:bookmarkStart w:id="86" w:name="DocXTextRef45"/>
      <w:r w:rsidRPr="009A09FD">
        <w:rPr>
          <w:snapToGrid w:val="0"/>
        </w:rPr>
        <w:t>(B)</w:t>
      </w:r>
      <w:bookmarkEnd w:id="86"/>
      <w:r w:rsidRPr="009A09FD">
        <w:rPr>
          <w:snapToGrid w:val="0"/>
        </w:rPr>
        <w:t xml:space="preserve"> to make a proper assessment of the financial position and prospects of the </w:t>
      </w:r>
      <w:r w:rsidRPr="009A09FD" w:rsidR="00121B0E">
        <w:rPr>
          <w:snapToGrid w:val="0"/>
        </w:rPr>
        <w:t>Group</w:t>
      </w:r>
      <w:r w:rsidRPr="009A09FD">
        <w:rPr>
          <w:snapToGrid w:val="0"/>
        </w:rPr>
        <w:t>, both before and after listing on the Stock Exchange;</w:t>
      </w:r>
      <w:bookmarkEnd w:id="82"/>
    </w:p>
    <w:p w:rsidR="00861971" w:rsidRPr="009A09FD" w:rsidP="003C6CDA" w14:paraId="002824CB" w14:textId="0FC72555">
      <w:pPr>
        <w:pStyle w:val="Heading3"/>
        <w:rPr>
          <w:snapToGrid w:val="0"/>
        </w:rPr>
      </w:pPr>
      <w:bookmarkStart w:id="87" w:name="_Ref367265600"/>
      <w:r w:rsidRPr="009A09FD">
        <w:rPr>
          <w:snapToGrid w:val="0"/>
        </w:rPr>
        <w:t xml:space="preserve">to conduct the Group’s business and affairs in compliance with all applicable Laws (including, without limitation, the Listing Rules, the Companies Ordinance, the </w:t>
      </w:r>
      <w:r w:rsidRPr="009A09FD" w:rsidR="004B314D">
        <w:rPr>
          <w:snapToGrid w:val="0"/>
        </w:rPr>
        <w:t>C(WUMP)O</w:t>
      </w:r>
      <w:r w:rsidRPr="009A09FD">
        <w:rPr>
          <w:snapToGrid w:val="0"/>
        </w:rPr>
        <w:t>, the CSRC Rules, and the Hong Kong Code on Takeovers and Mergers), including, without limitation (</w:t>
      </w:r>
      <w:r w:rsidRPr="009A09FD" w:rsidR="008F5F41">
        <w:rPr>
          <w:snapToGrid w:val="0"/>
        </w:rPr>
        <w:t>A</w:t>
      </w:r>
      <w:r w:rsidRPr="009A09FD">
        <w:rPr>
          <w:snapToGrid w:val="0"/>
        </w:rPr>
        <w:t>) complying with the Listing Rule requirement to document the rationale behind the Company’s decision on allocation and pricing, in particular where the decision is contrary to the advice, recommendation(s) and/or guidance of the Overall Coordinators in accordance with paragraph 19 of Appendix 6 to the Listing Rules; (</w:t>
      </w:r>
      <w:r w:rsidRPr="009A09FD" w:rsidR="008F5F41">
        <w:rPr>
          <w:snapToGrid w:val="0"/>
        </w:rPr>
        <w:t>B</w:t>
      </w:r>
      <w:r w:rsidRPr="009A09FD">
        <w:rPr>
          <w:snapToGrid w:val="0"/>
        </w:rPr>
        <w:t xml:space="preserve">) complying with and procuring its directors to comply with their obligations to assist the syndicate members in accordance with Listing Rule </w:t>
      </w:r>
      <w:r w:rsidRPr="009A09FD" w:rsidR="001B07A3">
        <w:rPr>
          <w:snapToGrid w:val="0"/>
        </w:rPr>
        <w:t>3A.46</w:t>
      </w:r>
      <w:r w:rsidRPr="009A09FD">
        <w:rPr>
          <w:snapToGrid w:val="0"/>
        </w:rPr>
        <w:t>, including but not limited to keeping the syndicate members informed of any material changes to information provided under Listing Rule 3A.46(1) as soon as it becomes known to the Company and its directors; (</w:t>
      </w:r>
      <w:r w:rsidRPr="009A09FD" w:rsidR="008F5F41">
        <w:rPr>
          <w:snapToGrid w:val="0"/>
        </w:rPr>
        <w:t>C</w:t>
      </w:r>
      <w:r w:rsidRPr="009A09FD">
        <w:rPr>
          <w:snapToGrid w:val="0"/>
        </w:rPr>
        <w:t>) notifying the Stock Exchange and providing it with the updated information and reasons for any material changes to the information provided to the Stock Exchange under Rule 9.11; (</w:t>
      </w:r>
      <w:r w:rsidRPr="009A09FD" w:rsidR="008F5F41">
        <w:rPr>
          <w:snapToGrid w:val="0"/>
        </w:rPr>
        <w:t>D</w:t>
      </w:r>
      <w:r w:rsidRPr="009A09FD">
        <w:rPr>
          <w:snapToGrid w:val="0"/>
        </w:rPr>
        <w:t xml:space="preserve">) keeping </w:t>
      </w:r>
      <w:r w:rsidRPr="009A09FD" w:rsidR="002E4724">
        <w:rPr>
          <w:snapToGrid w:val="0"/>
        </w:rPr>
        <w:t xml:space="preserve">the Joint Sponsors and </w:t>
      </w:r>
      <w:r w:rsidRPr="009A09FD">
        <w:rPr>
          <w:snapToGrid w:val="0"/>
        </w:rPr>
        <w:t xml:space="preserve">the Overall Coordinators informed of any material change to the information previously given to the Stock Exchange, the SFC and the CSRC under paragraph </w:t>
      </w:r>
      <w:r w:rsidRPr="009A09FD" w:rsidR="00431439">
        <w:rPr>
          <w:snapToGrid w:val="0"/>
        </w:rPr>
        <w:fldChar w:fldCharType="begin"/>
      </w:r>
      <w:r w:rsidRPr="009A09FD" w:rsidR="00431439">
        <w:rPr>
          <w:snapToGrid w:val="0"/>
        </w:rPr>
        <w:instrText xml:space="preserve"> REF _Ref150417730 \r \h </w:instrText>
      </w:r>
      <w:r w:rsidRPr="009A09FD" w:rsidR="00C13569">
        <w:rPr>
          <w:snapToGrid w:val="0"/>
        </w:rPr>
        <w:instrText xml:space="preserve"> \* MERGEFORMAT </w:instrText>
      </w:r>
      <w:r w:rsidRPr="009A09FD" w:rsidR="00431439">
        <w:rPr>
          <w:snapToGrid w:val="0"/>
        </w:rPr>
        <w:fldChar w:fldCharType="separate"/>
      </w:r>
      <w:r w:rsidRPr="009A09FD" w:rsidR="00ED2E07">
        <w:rPr>
          <w:snapToGrid w:val="0"/>
        </w:rPr>
        <w:t>4</w:t>
      </w:r>
      <w:r w:rsidRPr="009A09FD" w:rsidR="00431439">
        <w:rPr>
          <w:snapToGrid w:val="0"/>
        </w:rPr>
        <w:fldChar w:fldCharType="end"/>
      </w:r>
      <w:r w:rsidRPr="009A09FD" w:rsidR="00431439">
        <w:rPr>
          <w:snapToGrid w:val="0"/>
        </w:rPr>
        <w:fldChar w:fldCharType="begin"/>
      </w:r>
      <w:r w:rsidRPr="009A09FD" w:rsidR="00431439">
        <w:rPr>
          <w:snapToGrid w:val="0"/>
        </w:rPr>
        <w:instrText xml:space="preserve"> REF _Ref150417704 \r \h </w:instrText>
      </w:r>
      <w:r w:rsidRPr="009A09FD" w:rsidR="00C13569">
        <w:rPr>
          <w:snapToGrid w:val="0"/>
        </w:rPr>
        <w:instrText xml:space="preserve"> \* MERGEFORMAT </w:instrText>
      </w:r>
      <w:r w:rsidRPr="009A09FD" w:rsidR="00431439">
        <w:rPr>
          <w:snapToGrid w:val="0"/>
        </w:rPr>
        <w:fldChar w:fldCharType="separate"/>
      </w:r>
      <w:r w:rsidRPr="009A09FD" w:rsidR="00ED2E07">
        <w:rPr>
          <w:snapToGrid w:val="0"/>
        </w:rPr>
        <w:t>(f)</w:t>
      </w:r>
      <w:r w:rsidRPr="009A09FD" w:rsidR="00431439">
        <w:rPr>
          <w:snapToGrid w:val="0"/>
        </w:rPr>
        <w:fldChar w:fldCharType="end"/>
      </w:r>
      <w:r w:rsidRPr="009A09FD" w:rsidR="001D07F0">
        <w:rPr>
          <w:snapToGrid w:val="0"/>
        </w:rPr>
        <w:t xml:space="preserve">(ii) </w:t>
      </w:r>
      <w:r w:rsidRPr="009A09FD">
        <w:rPr>
          <w:snapToGrid w:val="0"/>
        </w:rPr>
        <w:t xml:space="preserve">above, and to enable </w:t>
      </w:r>
      <w:r w:rsidRPr="009A09FD" w:rsidR="002E4724">
        <w:rPr>
          <w:snapToGrid w:val="0"/>
        </w:rPr>
        <w:t xml:space="preserve">the Joint Sponsors and </w:t>
      </w:r>
      <w:r w:rsidRPr="009A09FD">
        <w:rPr>
          <w:snapToGrid w:val="0"/>
        </w:rPr>
        <w:t>the Overall Coordinators to provide (or procuring their provision) to the Stock Exchange</w:t>
      </w:r>
      <w:r w:rsidRPr="009A09FD" w:rsidR="005A14C3">
        <w:rPr>
          <w:snapToGrid w:val="0"/>
        </w:rPr>
        <w:t>,</w:t>
      </w:r>
      <w:r w:rsidRPr="009A09FD">
        <w:rPr>
          <w:snapToGrid w:val="0"/>
        </w:rPr>
        <w:t xml:space="preserve"> the SFC and/or the CSRC, in a timely manner, such information as the Stock Exchange, the SFC or the CSRC may require</w:t>
      </w:r>
      <w:r w:rsidRPr="009A09FD" w:rsidR="00B9751D">
        <w:rPr>
          <w:snapToGrid w:val="0"/>
        </w:rPr>
        <w:t>;</w:t>
      </w:r>
      <w:r w:rsidRPr="009A09FD">
        <w:rPr>
          <w:snapToGrid w:val="0"/>
        </w:rPr>
        <w:t xml:space="preserve"> (</w:t>
      </w:r>
      <w:r w:rsidRPr="009A09FD" w:rsidR="008F5F41">
        <w:rPr>
          <w:snapToGrid w:val="0"/>
        </w:rPr>
        <w:t>E</w:t>
      </w:r>
      <w:r w:rsidRPr="009A09FD">
        <w:rPr>
          <w:snapToGrid w:val="0"/>
        </w:rPr>
        <w:t xml:space="preserve">) providing to or procuring for the </w:t>
      </w:r>
      <w:r w:rsidRPr="009A09FD" w:rsidR="00157448">
        <w:rPr>
          <w:snapToGrid w:val="0"/>
        </w:rPr>
        <w:t xml:space="preserve">Joint Sponsors and the </w:t>
      </w:r>
      <w:r w:rsidRPr="009A09FD">
        <w:rPr>
          <w:snapToGrid w:val="0"/>
        </w:rPr>
        <w:t xml:space="preserve">Overall Coordinators all necessary consents to the provision of the information referred to in paragraphs </w:t>
      </w:r>
      <w:r w:rsidRPr="009A09FD" w:rsidR="00117721">
        <w:rPr>
          <w:snapToGrid w:val="0"/>
        </w:rPr>
        <w:fldChar w:fldCharType="begin"/>
      </w:r>
      <w:r w:rsidRPr="009A09FD" w:rsidR="00117721">
        <w:rPr>
          <w:snapToGrid w:val="0"/>
        </w:rPr>
        <w:instrText xml:space="preserve"> REF _Ref150417730 \r \h </w:instrText>
      </w:r>
      <w:r w:rsidRPr="009A09FD" w:rsidR="00C13569">
        <w:rPr>
          <w:snapToGrid w:val="0"/>
        </w:rPr>
        <w:instrText xml:space="preserve"> \* MERGEFORMAT </w:instrText>
      </w:r>
      <w:r w:rsidRPr="009A09FD" w:rsidR="00117721">
        <w:rPr>
          <w:snapToGrid w:val="0"/>
        </w:rPr>
        <w:fldChar w:fldCharType="separate"/>
      </w:r>
      <w:r w:rsidRPr="009A09FD" w:rsidR="00ED2E07">
        <w:rPr>
          <w:snapToGrid w:val="0"/>
        </w:rPr>
        <w:t>4</w:t>
      </w:r>
      <w:r w:rsidRPr="009A09FD" w:rsidR="00117721">
        <w:rPr>
          <w:snapToGrid w:val="0"/>
        </w:rPr>
        <w:fldChar w:fldCharType="end"/>
      </w:r>
      <w:r w:rsidRPr="009A09FD" w:rsidR="00117721">
        <w:rPr>
          <w:snapToGrid w:val="0"/>
        </w:rPr>
        <w:fldChar w:fldCharType="begin"/>
      </w:r>
      <w:r w:rsidRPr="009A09FD" w:rsidR="00117721">
        <w:rPr>
          <w:snapToGrid w:val="0"/>
        </w:rPr>
        <w:instrText xml:space="preserve"> REF _Ref150417704 \r \h </w:instrText>
      </w:r>
      <w:r w:rsidRPr="009A09FD" w:rsidR="00C13569">
        <w:rPr>
          <w:snapToGrid w:val="0"/>
        </w:rPr>
        <w:instrText xml:space="preserve"> \* MERGEFORMAT </w:instrText>
      </w:r>
      <w:r w:rsidRPr="009A09FD" w:rsidR="00117721">
        <w:rPr>
          <w:snapToGrid w:val="0"/>
        </w:rPr>
        <w:fldChar w:fldCharType="separate"/>
      </w:r>
      <w:r w:rsidRPr="009A09FD" w:rsidR="00ED2E07">
        <w:rPr>
          <w:snapToGrid w:val="0"/>
        </w:rPr>
        <w:t>(f)</w:t>
      </w:r>
      <w:r w:rsidRPr="009A09FD" w:rsidR="00117721">
        <w:rPr>
          <w:snapToGrid w:val="0"/>
        </w:rPr>
        <w:fldChar w:fldCharType="end"/>
      </w:r>
      <w:r w:rsidRPr="009A09FD" w:rsidR="00117721">
        <w:rPr>
          <w:snapToGrid w:val="0"/>
        </w:rPr>
        <w:t xml:space="preserve"> </w:t>
      </w:r>
      <w:r w:rsidRPr="009A09FD">
        <w:rPr>
          <w:snapToGrid w:val="0"/>
        </w:rPr>
        <w:t xml:space="preserve">and </w:t>
      </w:r>
      <w:r w:rsidRPr="009A09FD" w:rsidR="00117721">
        <w:rPr>
          <w:snapToGrid w:val="0"/>
        </w:rPr>
        <w:fldChar w:fldCharType="begin"/>
      </w:r>
      <w:r w:rsidRPr="009A09FD" w:rsidR="00117721">
        <w:rPr>
          <w:snapToGrid w:val="0"/>
        </w:rPr>
        <w:instrText xml:space="preserve"> REF _Ref150417730 \r \h </w:instrText>
      </w:r>
      <w:r w:rsidRPr="009A09FD" w:rsidR="00C13569">
        <w:rPr>
          <w:snapToGrid w:val="0"/>
        </w:rPr>
        <w:instrText xml:space="preserve"> \* MERGEFORMAT </w:instrText>
      </w:r>
      <w:r w:rsidRPr="009A09FD" w:rsidR="00117721">
        <w:rPr>
          <w:snapToGrid w:val="0"/>
        </w:rPr>
        <w:fldChar w:fldCharType="separate"/>
      </w:r>
      <w:r w:rsidRPr="009A09FD" w:rsidR="00ED2E07">
        <w:rPr>
          <w:snapToGrid w:val="0"/>
        </w:rPr>
        <w:t>4</w:t>
      </w:r>
      <w:r w:rsidRPr="009A09FD" w:rsidR="00117721">
        <w:rPr>
          <w:snapToGrid w:val="0"/>
        </w:rPr>
        <w:fldChar w:fldCharType="end"/>
      </w:r>
      <w:r w:rsidRPr="009A09FD" w:rsidR="00117721">
        <w:rPr>
          <w:snapToGrid w:val="0"/>
        </w:rPr>
        <w:fldChar w:fldCharType="begin"/>
      </w:r>
      <w:r w:rsidRPr="009A09FD" w:rsidR="00117721">
        <w:rPr>
          <w:snapToGrid w:val="0"/>
        </w:rPr>
        <w:instrText xml:space="preserve"> REF _Ref150417744 \r \h </w:instrText>
      </w:r>
      <w:r w:rsidRPr="009A09FD" w:rsidR="00C13569">
        <w:rPr>
          <w:snapToGrid w:val="0"/>
        </w:rPr>
        <w:instrText xml:space="preserve"> \* MERGEFORMAT </w:instrText>
      </w:r>
      <w:r w:rsidRPr="009A09FD" w:rsidR="00117721">
        <w:rPr>
          <w:snapToGrid w:val="0"/>
        </w:rPr>
        <w:fldChar w:fldCharType="separate"/>
      </w:r>
      <w:r w:rsidRPr="009A09FD" w:rsidR="00ED2E07">
        <w:rPr>
          <w:snapToGrid w:val="0"/>
        </w:rPr>
        <w:t>(i)</w:t>
      </w:r>
      <w:r w:rsidRPr="009A09FD" w:rsidR="00117721">
        <w:rPr>
          <w:snapToGrid w:val="0"/>
        </w:rPr>
        <w:fldChar w:fldCharType="end"/>
      </w:r>
      <w:r w:rsidRPr="009A09FD" w:rsidR="00117721">
        <w:rPr>
          <w:snapToGrid w:val="0"/>
        </w:rPr>
        <w:t xml:space="preserve"> </w:t>
      </w:r>
      <w:r w:rsidRPr="009A09FD">
        <w:rPr>
          <w:snapToGrid w:val="0"/>
        </w:rPr>
        <w:t>of this clause to them; (</w:t>
      </w:r>
      <w:r w:rsidRPr="009A09FD" w:rsidR="008F5F41">
        <w:rPr>
          <w:snapToGrid w:val="0"/>
        </w:rPr>
        <w:t>F</w:t>
      </w:r>
      <w:r w:rsidRPr="009A09FD">
        <w:rPr>
          <w:snapToGrid w:val="0"/>
        </w:rPr>
        <w:t xml:space="preserve">) complying, cooperating and assisting with record-keeping obligations of the Company, the Overall Coordinators and the </w:t>
      </w:r>
      <w:r w:rsidRPr="009A09FD" w:rsidR="00990240">
        <w:rPr>
          <w:snapToGrid w:val="0"/>
        </w:rPr>
        <w:t>CM</w:t>
      </w:r>
      <w:r w:rsidRPr="009A09FD" w:rsidR="001C1E4A">
        <w:rPr>
          <w:snapToGrid w:val="0"/>
        </w:rPr>
        <w:t>I</w:t>
      </w:r>
      <w:r w:rsidRPr="009A09FD" w:rsidR="00990240">
        <w:rPr>
          <w:snapToGrid w:val="0"/>
        </w:rPr>
        <w:t>s</w:t>
      </w:r>
      <w:r w:rsidRPr="009A09FD">
        <w:rPr>
          <w:snapToGrid w:val="0"/>
        </w:rPr>
        <w:t xml:space="preserve"> under the Code of Conduct and the Listing Rules, including but not limited to, in the situation where the Company may decide to deviate from the advice or recommendations by an Overall Coordinator</w:t>
      </w:r>
      <w:r w:rsidRPr="009A09FD" w:rsidR="002020B8">
        <w:rPr>
          <w:snapToGrid w:val="0"/>
        </w:rPr>
        <w:t xml:space="preserve">; </w:t>
      </w:r>
      <w:r w:rsidRPr="009A09FD" w:rsidR="002020B8">
        <w:t>(</w:t>
      </w:r>
      <w:r w:rsidRPr="009A09FD" w:rsidR="008F5F41">
        <w:t>G</w:t>
      </w:r>
      <w:r w:rsidRPr="009A09FD" w:rsidR="002020B8">
        <w:t xml:space="preserve">) </w:t>
      </w:r>
      <w:r w:rsidRPr="009A09FD" w:rsidR="00A5393B">
        <w:t xml:space="preserve">making and </w:t>
      </w:r>
      <w:r w:rsidRPr="009A09FD" w:rsidR="002020B8">
        <w:t xml:space="preserve">obtaining all necessary </w:t>
      </w:r>
      <w:r w:rsidR="00B42DAF">
        <w:t>Approvals and Filings</w:t>
      </w:r>
      <w:r w:rsidRPr="009A09FD" w:rsidR="002020B8">
        <w:t xml:space="preserve"> (including the CSRC Filings, which shall include the submission of listing report to the CSRC upon completion of the Global Offering pursuant to the CSRC Filing Rules on or before the relevant time or date specified thereof) with </w:t>
      </w:r>
      <w:r w:rsidRPr="009A09FD" w:rsidR="00A5393B">
        <w:t xml:space="preserve">and/or from </w:t>
      </w:r>
      <w:r w:rsidRPr="009A09FD" w:rsidR="002020B8">
        <w:t xml:space="preserve">the Registrar of Companies in Hong Kong, the Stock Exchange, the SFC, the CSRC and other relevant Authority, </w:t>
      </w:r>
      <w:r w:rsidRPr="009A09FD" w:rsidR="00A5393B">
        <w:rPr>
          <w:szCs w:val="22"/>
        </w:rPr>
        <w:t>including but not limited to lodging with the Stock Exchange all relevant documents, declarations and undertakings on FINI in such manner, form and time as required under the Listing Rules and all applicable rules, procedures, terms and conditions and guidance materials of the Stock Exchange and the HKSCC</w:t>
      </w:r>
      <w:r w:rsidRPr="009A09FD" w:rsidR="00351A45">
        <w:rPr>
          <w:szCs w:val="22"/>
        </w:rPr>
        <w:t xml:space="preserve">; and (H) </w:t>
      </w:r>
      <w:r w:rsidRPr="009A09FD" w:rsidR="00934819">
        <w:rPr>
          <w:szCs w:val="22"/>
        </w:rPr>
        <w:t>complying with the Listing Rules and all applicable rules, procedures, terms and conditions and guidance materials of the Stock Exchange and the HKSCC in relation to application procedures and requirements for new listing, and adopting FINI for admission of trading and the collection of specified information on subscription and settlement</w:t>
      </w:r>
      <w:r w:rsidRPr="009A09FD">
        <w:rPr>
          <w:snapToGrid w:val="0"/>
        </w:rPr>
        <w:t>;</w:t>
      </w:r>
      <w:r w:rsidRPr="009A09FD" w:rsidR="00EA0E8C">
        <w:rPr>
          <w:snapToGrid w:val="0"/>
        </w:rPr>
        <w:t xml:space="preserve"> </w:t>
      </w:r>
    </w:p>
    <w:p w:rsidR="00861971" w:rsidRPr="009A09FD" w:rsidP="003C6CDA" w14:paraId="1F1833C0" w14:textId="18980F83">
      <w:pPr>
        <w:pStyle w:val="Heading3"/>
        <w:rPr>
          <w:snapToGrid w:val="0"/>
        </w:rPr>
      </w:pPr>
      <w:r w:rsidRPr="009A09FD">
        <w:rPr>
          <w:snapToGrid w:val="0"/>
        </w:rPr>
        <w:t>to inform the Stock Exchange</w:t>
      </w:r>
      <w:r w:rsidRPr="009A09FD" w:rsidR="006679FA">
        <w:rPr>
          <w:snapToGrid w:val="0"/>
        </w:rPr>
        <w:t xml:space="preserve"> and</w:t>
      </w:r>
      <w:r w:rsidRPr="009A09FD" w:rsidR="000714C8">
        <w:rPr>
          <w:snapToGrid w:val="0"/>
        </w:rPr>
        <w:t xml:space="preserve"> </w:t>
      </w:r>
      <w:r w:rsidRPr="009A09FD">
        <w:rPr>
          <w:snapToGrid w:val="0"/>
        </w:rPr>
        <w:t>the SFC of such material change or matter if so required by any of the Joint Sponsors, the Underwriters</w:t>
      </w:r>
      <w:r w:rsidRPr="009A09FD" w:rsidR="00AD2CD6">
        <w:rPr>
          <w:snapToGrid w:val="0"/>
        </w:rPr>
        <w:t xml:space="preserve"> and</w:t>
      </w:r>
      <w:r w:rsidR="00733CCE">
        <w:rPr>
          <w:snapToGrid w:val="0"/>
        </w:rPr>
        <w:t xml:space="preserve"> </w:t>
      </w:r>
      <w:r w:rsidRPr="009A09FD">
        <w:rPr>
          <w:snapToGrid w:val="0"/>
        </w:rPr>
        <w:t>the Overall Coordinators;</w:t>
      </w:r>
    </w:p>
    <w:p w:rsidR="006679FA" w:rsidRPr="009A09FD" w:rsidP="003C6CDA" w14:paraId="48B3BA17" w14:textId="7A873D03">
      <w:pPr>
        <w:pStyle w:val="Heading3"/>
        <w:rPr>
          <w:snapToGrid w:val="0"/>
        </w:rPr>
      </w:pPr>
      <w:r w:rsidRPr="009A09FD">
        <w:rPr>
          <w:snapToGrid w:val="0"/>
        </w:rPr>
        <w:t xml:space="preserve">to keep the Joint Sponsors, the Overall Coordinators and the Joint Global Coordinators (for themselves and on behalf of the CMIs and the Underwriters) informed of any material change to the information previously given to the CSRC, the Stock Exchange, the SFC or any other relevant Authority, and to enable </w:t>
      </w:r>
      <w:bookmarkStart w:id="88" w:name="_Hlk183020751"/>
      <w:r w:rsidRPr="009A09FD">
        <w:rPr>
          <w:snapToGrid w:val="0"/>
        </w:rPr>
        <w:t xml:space="preserve">the Joint Sponsors, the Overall Coordinators and the Joint Global Coordinators </w:t>
      </w:r>
      <w:bookmarkEnd w:id="88"/>
      <w:r w:rsidRPr="009A09FD">
        <w:rPr>
          <w:snapToGrid w:val="0"/>
        </w:rPr>
        <w:t>(for themselves and on behalf of the CMIs and the Underwriters) to provide (or procuring their provision) to the CSRC, the Stock Exchange, the SFC or any such relevant Authority, in a timely manner, such information as the CSRC, the Stock Exchange, the SFC or any such relevant Authority may require;</w:t>
      </w:r>
    </w:p>
    <w:p w:rsidR="001C5107" w:rsidRPr="009A09FD" w:rsidP="003C6CDA" w14:paraId="40166D82" w14:textId="5117F414">
      <w:pPr>
        <w:pStyle w:val="Heading3"/>
        <w:rPr>
          <w:snapToGrid w:val="0"/>
        </w:rPr>
      </w:pPr>
      <w:r w:rsidRPr="009A09FD">
        <w:rPr>
          <w:snapToGrid w:val="0"/>
        </w:rPr>
        <w:t xml:space="preserve">prior to </w:t>
      </w:r>
      <w:bookmarkStart w:id="89" w:name="DocXTextRef46"/>
      <w:r w:rsidRPr="009A09FD">
        <w:rPr>
          <w:snapToGrid w:val="0"/>
        </w:rPr>
        <w:t>forty (40</w:t>
      </w:r>
      <w:bookmarkEnd w:id="89"/>
      <w:r w:rsidRPr="009A09FD">
        <w:rPr>
          <w:snapToGrid w:val="0"/>
        </w:rPr>
        <w:t xml:space="preserve">) days after the later of the Option Expiration Date and the date on which </w:t>
      </w:r>
      <w:r w:rsidRPr="009A09FD" w:rsidR="00C51297">
        <w:rPr>
          <w:snapToGrid w:val="0"/>
        </w:rPr>
        <w:t xml:space="preserve">the Overall Coordinators and the Joint Global Coordinators notify the Company that </w:t>
      </w:r>
      <w:r w:rsidRPr="009A09FD">
        <w:rPr>
          <w:snapToGrid w:val="0"/>
        </w:rPr>
        <w:t xml:space="preserve">the distribution of the Offer Shares is complete, not to, and to </w:t>
      </w:r>
      <w:r w:rsidRPr="009A09FD" w:rsidR="00B02EBD">
        <w:rPr>
          <w:snapToGrid w:val="0"/>
        </w:rPr>
        <w:t>procure</w:t>
      </w:r>
      <w:r w:rsidRPr="009A09FD">
        <w:rPr>
          <w:snapToGrid w:val="0"/>
        </w:rPr>
        <w:t xml:space="preserve"> its subsidiaries and all other parties acting on its or their behalf not to, issue any </w:t>
      </w:r>
      <w:r w:rsidRPr="009A09FD" w:rsidR="00855E07">
        <w:rPr>
          <w:snapToGrid w:val="0"/>
        </w:rPr>
        <w:t xml:space="preserve">public </w:t>
      </w:r>
      <w:r w:rsidRPr="009A09FD">
        <w:rPr>
          <w:snapToGrid w:val="0"/>
        </w:rPr>
        <w:t xml:space="preserve">announcement, press release or other communication directly or indirectly or hold or participate in any press or other conferences with respect to the Company and/or any of its subsidiaries, (i) with respect to the financial condition, results of operations, business, properties, assets or liabilities of the Company and/or any of its subsidiaries, or the offering of the Offer Shares; (ii) that would be materially inconsistent with any statement contained in each of the Disclosure Package and the </w:t>
      </w:r>
      <w:r w:rsidRPr="009A09FD" w:rsidR="005F428E">
        <w:rPr>
          <w:snapToGrid w:val="0"/>
        </w:rPr>
        <w:t>Offering Circular</w:t>
      </w:r>
      <w:r w:rsidRPr="009A09FD">
        <w:rPr>
          <w:snapToGrid w:val="0"/>
        </w:rPr>
        <w:t xml:space="preserve">, in either case without the prior </w:t>
      </w:r>
      <w:r w:rsidRPr="009A09FD" w:rsidR="00AB0613">
        <w:rPr>
          <w:snapToGrid w:val="0"/>
        </w:rPr>
        <w:t xml:space="preserve">written </w:t>
      </w:r>
      <w:r w:rsidRPr="009A09FD">
        <w:rPr>
          <w:snapToGrid w:val="0"/>
        </w:rPr>
        <w:t xml:space="preserve">approval of the </w:t>
      </w:r>
      <w:r w:rsidRPr="009A09FD" w:rsidR="00E45E41">
        <w:rPr>
          <w:snapToGrid w:val="0"/>
        </w:rPr>
        <w:t>Overall Coordinators</w:t>
      </w:r>
      <w:bookmarkEnd w:id="87"/>
      <w:r w:rsidRPr="009A09FD" w:rsidR="003321C7">
        <w:rPr>
          <w:snapToGrid w:val="0"/>
        </w:rPr>
        <w:t xml:space="preserve"> and the Joint Global Coordinators</w:t>
      </w:r>
      <w:r w:rsidRPr="009A09FD" w:rsidR="00A84BDE">
        <w:rPr>
          <w:snapToGrid w:val="0"/>
        </w:rPr>
        <w:t>; or (iii) that could be material in the context of the distribution of the Offer Shares</w:t>
      </w:r>
      <w:r w:rsidRPr="009A09FD" w:rsidR="00DB25AB">
        <w:rPr>
          <w:snapToGrid w:val="0"/>
        </w:rPr>
        <w:t>;</w:t>
      </w:r>
    </w:p>
    <w:p w:rsidR="001C5107" w:rsidRPr="009A09FD" w:rsidP="003C6CDA" w14:paraId="3773D856" w14:textId="3C60AF27">
      <w:pPr>
        <w:pStyle w:val="Heading3"/>
        <w:rPr>
          <w:snapToGrid w:val="0"/>
        </w:rPr>
      </w:pPr>
      <w:bookmarkStart w:id="90" w:name="_Ref367265601"/>
      <w:r w:rsidRPr="009A09FD">
        <w:rPr>
          <w:snapToGrid w:val="0"/>
        </w:rPr>
        <w:t xml:space="preserve">to furnish to its shareholders </w:t>
      </w:r>
      <w:bookmarkStart w:id="91" w:name="DocXTextRef47"/>
      <w:r w:rsidRPr="009A09FD">
        <w:rPr>
          <w:snapToGrid w:val="0"/>
        </w:rPr>
        <w:t>(A)</w:t>
      </w:r>
      <w:bookmarkEnd w:id="91"/>
      <w:r w:rsidRPr="009A09FD">
        <w:rPr>
          <w:snapToGrid w:val="0"/>
        </w:rPr>
        <w:t xml:space="preserve"> as soon as practicable after the end of each financial year an annual report in English (containing the consolidated balance sheet</w:t>
      </w:r>
      <w:r w:rsidRPr="009A09FD">
        <w:rPr>
          <w:rFonts w:hint="eastAsia"/>
          <w:snapToGrid w:val="0"/>
        </w:rPr>
        <w:t>s</w:t>
      </w:r>
      <w:r w:rsidRPr="009A09FD">
        <w:rPr>
          <w:snapToGrid w:val="0"/>
        </w:rPr>
        <w:t xml:space="preserve"> and consolidated </w:t>
      </w:r>
      <w:r w:rsidRPr="009A09FD">
        <w:rPr>
          <w:rFonts w:hint="eastAsia"/>
          <w:snapToGrid w:val="0"/>
        </w:rPr>
        <w:t>statements of comprehensive income</w:t>
      </w:r>
      <w:r w:rsidRPr="009A09FD">
        <w:rPr>
          <w:snapToGrid w:val="0"/>
        </w:rPr>
        <w:t xml:space="preserve">, changes in shareholders’ equity and cash flows of the Company and its subsidiaries, audited by independent public accountants and prepared in conformity with </w:t>
      </w:r>
      <w:r w:rsidRPr="009A09FD" w:rsidR="00523BBE">
        <w:rPr>
          <w:snapToGrid w:val="0"/>
        </w:rPr>
        <w:t>[</w:t>
      </w:r>
      <w:r w:rsidRPr="009A09FD" w:rsidR="004C07D1">
        <w:rPr>
          <w:snapToGrid w:val="0"/>
        </w:rPr>
        <w:t>the International Financial Reporting Standards (“</w:t>
      </w:r>
      <w:r w:rsidRPr="009A09FD" w:rsidR="004C07D1">
        <w:rPr>
          <w:b/>
          <w:bCs/>
          <w:snapToGrid w:val="0"/>
        </w:rPr>
        <w:t>IFRS</w:t>
      </w:r>
      <w:r w:rsidRPr="009A09FD" w:rsidR="004C07D1">
        <w:rPr>
          <w:snapToGrid w:val="0"/>
        </w:rPr>
        <w:t>”)</w:t>
      </w:r>
      <w:r w:rsidRPr="009A09FD" w:rsidR="00523BBE">
        <w:rPr>
          <w:snapToGrid w:val="0"/>
        </w:rPr>
        <w:t>]</w:t>
      </w:r>
      <w:r w:rsidRPr="009A09FD">
        <w:rPr>
          <w:snapToGrid w:val="0"/>
        </w:rPr>
        <w:t xml:space="preserve">) and </w:t>
      </w:r>
      <w:bookmarkStart w:id="92" w:name="DocXTextRef48"/>
      <w:r w:rsidRPr="009A09FD">
        <w:rPr>
          <w:snapToGrid w:val="0"/>
        </w:rPr>
        <w:t>(B)</w:t>
      </w:r>
      <w:bookmarkEnd w:id="92"/>
      <w:r w:rsidRPr="009A09FD">
        <w:rPr>
          <w:snapToGrid w:val="0"/>
        </w:rPr>
        <w:t xml:space="preserve"> as soon as practicable after the end of the first six-month period of each financial year (beginning with the first such period ending after the date of the </w:t>
      </w:r>
      <w:r w:rsidRPr="009A09FD" w:rsidR="005F428E">
        <w:rPr>
          <w:snapToGrid w:val="0"/>
        </w:rPr>
        <w:t>Offering Circular</w:t>
      </w:r>
      <w:r w:rsidRPr="009A09FD">
        <w:rPr>
          <w:snapToGrid w:val="0"/>
        </w:rPr>
        <w:t>), consolidated balance sheet</w:t>
      </w:r>
      <w:r w:rsidRPr="009A09FD">
        <w:rPr>
          <w:rFonts w:hint="eastAsia"/>
          <w:snapToGrid w:val="0"/>
        </w:rPr>
        <w:t>s</w:t>
      </w:r>
      <w:r w:rsidRPr="009A09FD">
        <w:rPr>
          <w:snapToGrid w:val="0"/>
        </w:rPr>
        <w:t xml:space="preserve"> and consolidated </w:t>
      </w:r>
      <w:r w:rsidRPr="009A09FD">
        <w:rPr>
          <w:rFonts w:hint="eastAsia"/>
          <w:snapToGrid w:val="0"/>
        </w:rPr>
        <w:t>statements of comprehensive income</w:t>
      </w:r>
      <w:r w:rsidRPr="009A09FD">
        <w:rPr>
          <w:snapToGrid w:val="0"/>
        </w:rPr>
        <w:t xml:space="preserve">, changes in shareholders’ equity and cash flows of the Company and its subsidiaries for such period prepared in conformity with and under </w:t>
      </w:r>
      <w:r w:rsidRPr="009A09FD" w:rsidR="004C07D1">
        <w:rPr>
          <w:snapToGrid w:val="0"/>
        </w:rPr>
        <w:t>IFRS</w:t>
      </w:r>
      <w:r w:rsidRPr="009A09FD">
        <w:rPr>
          <w:snapToGrid w:val="0"/>
        </w:rPr>
        <w:t>;</w:t>
      </w:r>
      <w:bookmarkEnd w:id="90"/>
    </w:p>
    <w:p w:rsidR="001C5107" w:rsidRPr="009A09FD" w:rsidP="003C6CDA" w14:paraId="723F3959" w14:textId="79069880">
      <w:pPr>
        <w:pStyle w:val="Heading3"/>
        <w:rPr>
          <w:snapToGrid w:val="0"/>
        </w:rPr>
      </w:pPr>
      <w:bookmarkStart w:id="93" w:name="_Ref367265602"/>
      <w:r w:rsidRPr="009A09FD">
        <w:rPr>
          <w:snapToGrid w:val="0"/>
        </w:rPr>
        <w:t xml:space="preserve">during a period of </w:t>
      </w:r>
      <w:r w:rsidRPr="009A09FD" w:rsidR="00FE518D">
        <w:rPr>
          <w:snapToGrid w:val="0"/>
        </w:rPr>
        <w:t>two</w:t>
      </w:r>
      <w:r w:rsidRPr="009A09FD">
        <w:rPr>
          <w:snapToGrid w:val="0"/>
        </w:rPr>
        <w:t xml:space="preserve"> </w:t>
      </w:r>
      <w:r w:rsidRPr="009A09FD" w:rsidR="00D143A9">
        <w:rPr>
          <w:snapToGrid w:val="0"/>
        </w:rPr>
        <w:t xml:space="preserve">years </w:t>
      </w:r>
      <w:r w:rsidRPr="009A09FD">
        <w:rPr>
          <w:snapToGrid w:val="0"/>
        </w:rPr>
        <w:t xml:space="preserve">from the date of the </w:t>
      </w:r>
      <w:r w:rsidRPr="009A09FD" w:rsidR="005F428E">
        <w:rPr>
          <w:snapToGrid w:val="0"/>
        </w:rPr>
        <w:t>Offering Circular</w:t>
      </w:r>
      <w:r w:rsidRPr="009A09FD" w:rsidR="00D143A9">
        <w:rPr>
          <w:snapToGrid w:val="0"/>
        </w:rPr>
        <w:t xml:space="preserve">, and in each case to the extent the same is not publicly available on the website of the </w:t>
      </w:r>
      <w:r w:rsidRPr="009A09FD" w:rsidR="00BC2701">
        <w:rPr>
          <w:snapToGrid w:val="0"/>
        </w:rPr>
        <w:t>Stock Exchange</w:t>
      </w:r>
      <w:r w:rsidRPr="009A09FD" w:rsidR="00D143A9">
        <w:rPr>
          <w:snapToGrid w:val="0"/>
        </w:rPr>
        <w:t>,</w:t>
      </w:r>
      <w:r w:rsidRPr="009A09FD" w:rsidR="007A0979">
        <w:rPr>
          <w:snapToGrid w:val="0"/>
        </w:rPr>
        <w:t xml:space="preserve"> to </w:t>
      </w:r>
      <w:r w:rsidRPr="009A09FD">
        <w:rPr>
          <w:snapToGrid w:val="0"/>
        </w:rPr>
        <w:t xml:space="preserve">furnish to the </w:t>
      </w:r>
      <w:r w:rsidRPr="009A09FD" w:rsidR="001364E4">
        <w:rPr>
          <w:snapToGrid w:val="0"/>
        </w:rPr>
        <w:t xml:space="preserve">Overall Coordinators </w:t>
      </w:r>
      <w:r w:rsidRPr="009A09FD" w:rsidR="003321C7">
        <w:rPr>
          <w:snapToGrid w:val="0"/>
        </w:rPr>
        <w:t xml:space="preserve">and the Joint Global Coordinators </w:t>
      </w:r>
      <w:r w:rsidRPr="009A09FD">
        <w:rPr>
          <w:snapToGrid w:val="0"/>
        </w:rPr>
        <w:t xml:space="preserve">copies of all reports or other communications (financial or other) furnished by the Company to its shareholders, and to deliver to the </w:t>
      </w:r>
      <w:r w:rsidRPr="009A09FD" w:rsidR="001364E4">
        <w:rPr>
          <w:snapToGrid w:val="0"/>
        </w:rPr>
        <w:t>Overall Coordinators</w:t>
      </w:r>
      <w:r w:rsidRPr="009A09FD" w:rsidR="003321C7">
        <w:rPr>
          <w:snapToGrid w:val="0"/>
        </w:rPr>
        <w:t xml:space="preserve"> and the Joint Global Coordinators</w:t>
      </w:r>
      <w:r w:rsidRPr="009A09FD" w:rsidR="001364E4">
        <w:rPr>
          <w:snapToGrid w:val="0"/>
        </w:rPr>
        <w:t xml:space="preserve"> </w:t>
      </w:r>
      <w:bookmarkStart w:id="94" w:name="DocXTextRef49"/>
      <w:r w:rsidRPr="009A09FD">
        <w:rPr>
          <w:snapToGrid w:val="0"/>
        </w:rPr>
        <w:t>(A)</w:t>
      </w:r>
      <w:bookmarkEnd w:id="94"/>
      <w:r w:rsidRPr="009A09FD">
        <w:rPr>
          <w:snapToGrid w:val="0"/>
        </w:rPr>
        <w:t xml:space="preserve"> as soon as they are available, copies of any reports and financial statements furnished to or filed with the Stock Exchange or any securities exchange on which any class of securities of the Company is listed (such financial statements to be on a consolidated basis to the extent the accounts of the Company and its subsidiaries are consolidated in reports furnished by the Company to its shareholders generally or to the Stock Exchange or any securities exchange on which any class of securities of the Company is listed) and </w:t>
      </w:r>
      <w:bookmarkStart w:id="95" w:name="DocXTextRef50"/>
      <w:r w:rsidRPr="009A09FD">
        <w:rPr>
          <w:snapToGrid w:val="0"/>
        </w:rPr>
        <w:t>(B)</w:t>
      </w:r>
      <w:bookmarkEnd w:id="95"/>
      <w:r w:rsidRPr="009A09FD">
        <w:rPr>
          <w:snapToGrid w:val="0"/>
        </w:rPr>
        <w:t xml:space="preserve"> such additional information concerning the financial condition, results of operations, business, properties, assets or liabilities of the Company</w:t>
      </w:r>
      <w:r w:rsidRPr="009A09FD">
        <w:rPr>
          <w:rFonts w:hint="eastAsia"/>
          <w:snapToGrid w:val="0"/>
        </w:rPr>
        <w:t xml:space="preserve"> or any other </w:t>
      </w:r>
      <w:r w:rsidRPr="009A09FD">
        <w:rPr>
          <w:snapToGrid w:val="0"/>
        </w:rPr>
        <w:t>member</w:t>
      </w:r>
      <w:r w:rsidRPr="009A09FD">
        <w:rPr>
          <w:rFonts w:hint="eastAsia"/>
          <w:snapToGrid w:val="0"/>
        </w:rPr>
        <w:t xml:space="preserve"> of the Group</w:t>
      </w:r>
      <w:r w:rsidRPr="009A09FD">
        <w:rPr>
          <w:snapToGrid w:val="0"/>
        </w:rPr>
        <w:t xml:space="preserve"> as the </w:t>
      </w:r>
      <w:r w:rsidRPr="009A09FD" w:rsidR="001364E4">
        <w:rPr>
          <w:snapToGrid w:val="0"/>
        </w:rPr>
        <w:t>Overall Coordinators</w:t>
      </w:r>
      <w:r w:rsidRPr="009A09FD" w:rsidR="003321C7">
        <w:rPr>
          <w:snapToGrid w:val="0"/>
        </w:rPr>
        <w:t xml:space="preserve"> and the Joint Global Coordinators</w:t>
      </w:r>
      <w:r w:rsidRPr="009A09FD" w:rsidR="001364E4">
        <w:rPr>
          <w:snapToGrid w:val="0"/>
        </w:rPr>
        <w:t xml:space="preserve"> </w:t>
      </w:r>
      <w:r w:rsidRPr="009A09FD">
        <w:rPr>
          <w:snapToGrid w:val="0"/>
        </w:rPr>
        <w:t>may from time to time request;</w:t>
      </w:r>
      <w:bookmarkEnd w:id="93"/>
    </w:p>
    <w:p w:rsidR="001C5107" w:rsidRPr="009A09FD" w:rsidP="003C6CDA" w14:paraId="7E8810ED" w14:textId="313C8D4F">
      <w:pPr>
        <w:pStyle w:val="Heading3"/>
        <w:rPr>
          <w:snapToGrid w:val="0"/>
        </w:rPr>
      </w:pPr>
      <w:bookmarkStart w:id="96" w:name="_Ref367265603"/>
      <w:r w:rsidRPr="009A09FD">
        <w:rPr>
          <w:snapToGrid w:val="0"/>
        </w:rPr>
        <w:t>for so long as the</w:t>
      </w:r>
      <w:r w:rsidRPr="009A09FD" w:rsidR="00AC4A39">
        <w:rPr>
          <w:snapToGrid w:val="0"/>
        </w:rPr>
        <w:t xml:space="preserve"> </w:t>
      </w:r>
      <w:r w:rsidRPr="009A09FD">
        <w:rPr>
          <w:snapToGrid w:val="0"/>
        </w:rPr>
        <w:t>Shares are outstanding, to file with the Stock Exchange, the SFC, the Hong Kong Registrar of Companies</w:t>
      </w:r>
      <w:r w:rsidRPr="009A09FD" w:rsidR="008D4FB8">
        <w:rPr>
          <w:snapToGrid w:val="0"/>
        </w:rPr>
        <w:t>, the CSRC</w:t>
      </w:r>
      <w:r w:rsidRPr="009A09FD">
        <w:rPr>
          <w:snapToGrid w:val="0"/>
        </w:rPr>
        <w:t xml:space="preserve"> and any other relevant Authority in Hong Kong, the PRC</w:t>
      </w:r>
      <w:r w:rsidRPr="009A09FD" w:rsidR="008D4FB8">
        <w:rPr>
          <w:snapToGrid w:val="0"/>
        </w:rPr>
        <w:t xml:space="preserve">, </w:t>
      </w:r>
      <w:r w:rsidRPr="009A09FD" w:rsidR="00987A37">
        <w:rPr>
          <w:snapToGrid w:val="0"/>
        </w:rPr>
        <w:t>[</w:t>
      </w:r>
      <w:r w:rsidRPr="009A09FD" w:rsidR="00987A37">
        <w:rPr>
          <w:i/>
          <w:iCs/>
          <w:snapToGrid w:val="0"/>
        </w:rPr>
        <w:t>insert relevant jurisdiction(s)</w:t>
      </w:r>
      <w:r w:rsidRPr="009A09FD" w:rsidR="00987A37">
        <w:rPr>
          <w:snapToGrid w:val="0"/>
        </w:rPr>
        <w:t>]</w:t>
      </w:r>
      <w:r w:rsidRPr="009A09FD">
        <w:rPr>
          <w:snapToGrid w:val="0"/>
        </w:rPr>
        <w:t xml:space="preserve">and other </w:t>
      </w:r>
      <w:r w:rsidRPr="009A09FD" w:rsidR="00446960">
        <w:rPr>
          <w:snapToGrid w:val="0"/>
        </w:rPr>
        <w:t>Relevant J</w:t>
      </w:r>
      <w:r w:rsidRPr="009A09FD">
        <w:rPr>
          <w:snapToGrid w:val="0"/>
        </w:rPr>
        <w:t>urisdictions, such relevant reports, documents, agreements and other information which may from time to time be required by applicable Laws to be so filed because the Shares are outstanding;</w:t>
      </w:r>
      <w:bookmarkEnd w:id="96"/>
    </w:p>
    <w:p w:rsidR="001C5107" w:rsidRPr="009A09FD" w:rsidP="003C6CDA" w14:paraId="44FE4F34" w14:textId="749E7AB6">
      <w:pPr>
        <w:pStyle w:val="Heading3"/>
        <w:rPr>
          <w:snapToGrid w:val="0"/>
        </w:rPr>
      </w:pPr>
      <w:r w:rsidRPr="009A09FD">
        <w:rPr>
          <w:snapToGrid w:val="0"/>
        </w:rPr>
        <w:t xml:space="preserve">to </w:t>
      </w:r>
      <w:r w:rsidRPr="009A09FD" w:rsidR="0045566B">
        <w:rPr>
          <w:snapToGrid w:val="0"/>
        </w:rPr>
        <w:t xml:space="preserve">procure that </w:t>
      </w:r>
      <w:r w:rsidRPr="009A09FD" w:rsidR="001C1E4A">
        <w:rPr>
          <w:snapToGrid w:val="0"/>
        </w:rPr>
        <w:t xml:space="preserve">no </w:t>
      </w:r>
      <w:r w:rsidRPr="009A09FD" w:rsidR="006B0770">
        <w:rPr>
          <w:snapToGrid w:val="0"/>
        </w:rPr>
        <w:t>connected person (as defined in the Listing Rules), existing shareholders of the Company or their respective associates (as defined in the Listing Rules)</w:t>
      </w:r>
      <w:r w:rsidRPr="009A09FD" w:rsidR="001C1E4A">
        <w:rPr>
          <w:snapToGrid w:val="0"/>
        </w:rPr>
        <w:t xml:space="preserve"> </w:t>
      </w:r>
      <w:r w:rsidRPr="009A09FD" w:rsidR="0045566B">
        <w:rPr>
          <w:snapToGrid w:val="0"/>
        </w:rPr>
        <w:t xml:space="preserve">will itself (or through a company controlled by it), apply for Offer Shares either in its own name or through nominees unless permitted to do so under the Listing Rules and having obtained confirmation to that effect, and if the Company shall become aware of any application or indication of interest for Offer Shares by any of the </w:t>
      </w:r>
      <w:r w:rsidRPr="009A09FD" w:rsidR="0045566B">
        <w:rPr>
          <w:rFonts w:hint="eastAsia"/>
          <w:snapToGrid w:val="0"/>
        </w:rPr>
        <w:t>above persons</w:t>
      </w:r>
      <w:r w:rsidRPr="009A09FD" w:rsidR="0045566B">
        <w:rPr>
          <w:snapToGrid w:val="0"/>
        </w:rPr>
        <w:t>, it shall forthwith notify the Joint Sponsors</w:t>
      </w:r>
      <w:r w:rsidRPr="009A09FD" w:rsidR="00786185">
        <w:rPr>
          <w:snapToGrid w:val="0"/>
        </w:rPr>
        <w:t>,</w:t>
      </w:r>
      <w:r w:rsidRPr="009A09FD" w:rsidR="0045566B">
        <w:rPr>
          <w:snapToGrid w:val="0"/>
        </w:rPr>
        <w:t xml:space="preserve"> the </w:t>
      </w:r>
      <w:r w:rsidRPr="009A09FD" w:rsidR="001364E4">
        <w:rPr>
          <w:snapToGrid w:val="0"/>
        </w:rPr>
        <w:t>Overall Coordinators</w:t>
      </w:r>
      <w:r w:rsidRPr="009A09FD" w:rsidR="0045566B">
        <w:rPr>
          <w:snapToGrid w:val="0"/>
        </w:rPr>
        <w:t xml:space="preserve"> </w:t>
      </w:r>
      <w:r w:rsidRPr="009A09FD" w:rsidR="00786185">
        <w:rPr>
          <w:snapToGrid w:val="0"/>
        </w:rPr>
        <w:t xml:space="preserve">and the Joint Global Coordinators </w:t>
      </w:r>
      <w:r w:rsidRPr="009A09FD" w:rsidR="0045566B">
        <w:rPr>
          <w:snapToGrid w:val="0"/>
        </w:rPr>
        <w:t>(for themselves and on behalf of the Joint Bookrunners, the Joint Lead Managers</w:t>
      </w:r>
      <w:r w:rsidRPr="009A09FD" w:rsidR="00FB38B8">
        <w:rPr>
          <w:snapToGrid w:val="0"/>
        </w:rPr>
        <w:t>, the CMIs</w:t>
      </w:r>
      <w:r w:rsidRPr="009A09FD" w:rsidR="0045566B">
        <w:rPr>
          <w:snapToGrid w:val="0"/>
        </w:rPr>
        <w:t xml:space="preserve"> and the Underwriters);</w:t>
      </w:r>
    </w:p>
    <w:p w:rsidR="003064EE" w:rsidRPr="009A09FD" w:rsidP="003C6CDA" w14:paraId="5B1DBEAA" w14:textId="7DFBB842">
      <w:pPr>
        <w:pStyle w:val="Heading3"/>
        <w:rPr>
          <w:snapToGrid w:val="0"/>
        </w:rPr>
      </w:pPr>
      <w:bookmarkStart w:id="97" w:name="_Ref367265605"/>
      <w:r w:rsidRPr="009A09FD">
        <w:rPr>
          <w:snapToGrid w:val="0"/>
        </w:rPr>
        <w:t xml:space="preserve">at any time when the Company is not subject to Section 13 or 15(d) of the </w:t>
      </w:r>
      <w:r w:rsidRPr="009A09FD" w:rsidR="00744B05">
        <w:rPr>
          <w:snapToGrid w:val="0"/>
        </w:rPr>
        <w:t xml:space="preserve">U.S. Securities </w:t>
      </w:r>
      <w:r w:rsidRPr="009A09FD">
        <w:rPr>
          <w:snapToGrid w:val="0"/>
        </w:rPr>
        <w:t xml:space="preserve">Exchange Act </w:t>
      </w:r>
      <w:r w:rsidRPr="009A09FD" w:rsidR="00744B05">
        <w:rPr>
          <w:snapToGrid w:val="0"/>
        </w:rPr>
        <w:t>of 1934 (the “</w:t>
      </w:r>
      <w:r w:rsidRPr="009A09FD" w:rsidR="00744B05">
        <w:rPr>
          <w:b/>
          <w:bCs/>
          <w:snapToGrid w:val="0"/>
        </w:rPr>
        <w:t>Exchange Act</w:t>
      </w:r>
      <w:r w:rsidRPr="009A09FD" w:rsidR="00744B05">
        <w:rPr>
          <w:snapToGrid w:val="0"/>
        </w:rPr>
        <w:t xml:space="preserve">”) </w:t>
      </w:r>
      <w:r w:rsidRPr="009A09FD">
        <w:rPr>
          <w:snapToGrid w:val="0"/>
        </w:rPr>
        <w:t xml:space="preserve">nor exempt from reporting pursuant to Rule 12g3-2(b) thereunder or not in compliance with the information furnishing requirements of Rule 12g3-2(b) thereunder, the Company will furnish at its expense, upon request, to holders of </w:t>
      </w:r>
      <w:r w:rsidRPr="009A09FD" w:rsidR="00956559">
        <w:rPr>
          <w:snapToGrid w:val="0"/>
        </w:rPr>
        <w:t xml:space="preserve">the </w:t>
      </w:r>
      <w:r w:rsidRPr="009A09FD">
        <w:rPr>
          <w:snapToGrid w:val="0"/>
        </w:rPr>
        <w:t xml:space="preserve">Shares and prospective purchasers of securities information satisfying the requirements of subsection (d)(4)(i) of Rule 144A under the </w:t>
      </w:r>
      <w:r w:rsidRPr="009A09FD" w:rsidR="00744B05">
        <w:rPr>
          <w:snapToGrid w:val="0"/>
        </w:rPr>
        <w:t xml:space="preserve">U.S. </w:t>
      </w:r>
      <w:r w:rsidRPr="009A09FD">
        <w:rPr>
          <w:snapToGrid w:val="0"/>
        </w:rPr>
        <w:t>Securities Act</w:t>
      </w:r>
      <w:r w:rsidRPr="009A09FD" w:rsidR="00744B05">
        <w:rPr>
          <w:snapToGrid w:val="0"/>
        </w:rPr>
        <w:t xml:space="preserve"> of 1933 (the “</w:t>
      </w:r>
      <w:r w:rsidRPr="009A09FD" w:rsidR="00744B05">
        <w:rPr>
          <w:b/>
          <w:bCs/>
          <w:snapToGrid w:val="0"/>
        </w:rPr>
        <w:t>Securities Act</w:t>
      </w:r>
      <w:r w:rsidRPr="009A09FD" w:rsidR="00744B05">
        <w:rPr>
          <w:snapToGrid w:val="0"/>
        </w:rPr>
        <w:t>”)</w:t>
      </w:r>
      <w:r w:rsidRPr="009A09FD">
        <w:rPr>
          <w:snapToGrid w:val="0"/>
        </w:rPr>
        <w:t xml:space="preserve">.  This covenant is intended to be for the benefit of holders from time to time of </w:t>
      </w:r>
      <w:r w:rsidRPr="009A09FD" w:rsidR="000F7F11">
        <w:rPr>
          <w:snapToGrid w:val="0"/>
        </w:rPr>
        <w:t xml:space="preserve">the </w:t>
      </w:r>
      <w:r w:rsidRPr="009A09FD">
        <w:rPr>
          <w:snapToGrid w:val="0"/>
        </w:rPr>
        <w:t>Shares;</w:t>
      </w:r>
    </w:p>
    <w:p w:rsidR="001C5107" w:rsidRPr="009A09FD" w:rsidP="003C6CDA" w14:paraId="618355A2" w14:textId="6A66771C">
      <w:pPr>
        <w:pStyle w:val="Heading3"/>
        <w:rPr>
          <w:snapToGrid w:val="0"/>
        </w:rPr>
      </w:pPr>
      <w:r w:rsidRPr="009A09FD">
        <w:rPr>
          <w:snapToGrid w:val="0"/>
        </w:rPr>
        <w:t xml:space="preserve">not to, and to </w:t>
      </w:r>
      <w:r w:rsidRPr="009A09FD" w:rsidR="00E0586C">
        <w:rPr>
          <w:snapToGrid w:val="0"/>
        </w:rPr>
        <w:t>procure</w:t>
      </w:r>
      <w:r w:rsidRPr="009A09FD">
        <w:rPr>
          <w:snapToGrid w:val="0"/>
        </w:rPr>
        <w:t xml:space="preserve"> its Affiliates and any person acting on its or their behalf</w:t>
      </w:r>
      <w:r w:rsidRPr="009A09FD" w:rsidR="00E0586C">
        <w:rPr>
          <w:snapToGrid w:val="0"/>
        </w:rPr>
        <w:t xml:space="preserve"> </w:t>
      </w:r>
      <w:r w:rsidRPr="009A09FD">
        <w:rPr>
          <w:snapToGrid w:val="0"/>
        </w:rPr>
        <w:t>not to, offer or sell the Offer Shares or other securities of the Company</w:t>
      </w:r>
      <w:r w:rsidRPr="009A09FD" w:rsidR="00C22BE0">
        <w:rPr>
          <w:snapToGrid w:val="0"/>
        </w:rPr>
        <w:t xml:space="preserve"> </w:t>
      </w:r>
      <w:r w:rsidRPr="009A09FD">
        <w:rPr>
          <w:snapToGrid w:val="0"/>
        </w:rPr>
        <w:t xml:space="preserve">by means of </w:t>
      </w:r>
      <w:r w:rsidRPr="009A09FD" w:rsidR="002333EB">
        <w:rPr>
          <w:snapToGrid w:val="0"/>
        </w:rPr>
        <w:t xml:space="preserve">(A) any “general solicitation or general advertising” within the meaning of Rule 502(c) under the Securities Act or any other conduct involving a public offering within the meaning of Section 4(a)(2) of the Securities Act or (B) </w:t>
      </w:r>
      <w:r w:rsidRPr="009A09FD">
        <w:rPr>
          <w:snapToGrid w:val="0"/>
        </w:rPr>
        <w:t xml:space="preserve">any “directed selling efforts” within the meaning of Rule </w:t>
      </w:r>
      <w:bookmarkStart w:id="98" w:name="DocXTextRef54"/>
      <w:r w:rsidRPr="009A09FD">
        <w:rPr>
          <w:snapToGrid w:val="0"/>
        </w:rPr>
        <w:t>902</w:t>
      </w:r>
      <w:bookmarkEnd w:id="98"/>
      <w:r w:rsidRPr="009A09FD">
        <w:rPr>
          <w:snapToGrid w:val="0"/>
        </w:rPr>
        <w:t xml:space="preserve"> under the Securities Act;</w:t>
      </w:r>
      <w:bookmarkEnd w:id="97"/>
      <w:r w:rsidRPr="009A09FD" w:rsidR="00FD0AE5">
        <w:rPr>
          <w:snapToGrid w:val="0"/>
        </w:rPr>
        <w:t xml:space="preserve"> </w:t>
      </w:r>
    </w:p>
    <w:p w:rsidR="000D2216" w:rsidRPr="009A09FD" w:rsidP="003C6CDA" w14:paraId="72A50BE8" w14:textId="47A7DE62">
      <w:pPr>
        <w:pStyle w:val="Heading3"/>
        <w:rPr>
          <w:snapToGrid w:val="0"/>
        </w:rPr>
      </w:pPr>
      <w:bookmarkStart w:id="99" w:name="_Ref367265607"/>
      <w:r w:rsidRPr="009A09FD">
        <w:rPr>
          <w:snapToGrid w:val="0"/>
        </w:rPr>
        <w:t xml:space="preserve">prior to the expiration of one year after the latest Time of Delivery, not to, and to </w:t>
      </w:r>
      <w:r w:rsidRPr="009A09FD" w:rsidR="00A40F0E">
        <w:rPr>
          <w:snapToGrid w:val="0"/>
        </w:rPr>
        <w:t xml:space="preserve">procure </w:t>
      </w:r>
      <w:r w:rsidRPr="009A09FD">
        <w:rPr>
          <w:snapToGrid w:val="0"/>
        </w:rPr>
        <w:t xml:space="preserve">its </w:t>
      </w:r>
      <w:r w:rsidRPr="009A09FD" w:rsidR="00E0586C">
        <w:rPr>
          <w:snapToGrid w:val="0"/>
        </w:rPr>
        <w:t>A</w:t>
      </w:r>
      <w:r w:rsidRPr="009A09FD">
        <w:rPr>
          <w:snapToGrid w:val="0"/>
        </w:rPr>
        <w:t xml:space="preserve">ffiliates </w:t>
      </w:r>
      <w:r w:rsidRPr="009A09FD" w:rsidR="00A40F0E">
        <w:rPr>
          <w:snapToGrid w:val="0"/>
        </w:rPr>
        <w:t xml:space="preserve">not </w:t>
      </w:r>
      <w:r w:rsidRPr="009A09FD">
        <w:rPr>
          <w:snapToGrid w:val="0"/>
        </w:rPr>
        <w:t>to</w:t>
      </w:r>
      <w:r w:rsidRPr="009A09FD" w:rsidR="00A40F0E">
        <w:rPr>
          <w:snapToGrid w:val="0"/>
        </w:rPr>
        <w:t>,</w:t>
      </w:r>
      <w:r w:rsidRPr="009A09FD" w:rsidR="00144E61">
        <w:rPr>
          <w:snapToGrid w:val="0"/>
        </w:rPr>
        <w:t xml:space="preserve"> </w:t>
      </w:r>
      <w:r w:rsidRPr="009A09FD">
        <w:rPr>
          <w:snapToGrid w:val="0"/>
        </w:rPr>
        <w:t>resell any of the Shares which constitute “restricted securities” under Rule 144(a)(3) of the Securities Act that have been reacquired by any of them;</w:t>
      </w:r>
    </w:p>
    <w:p w:rsidR="000D2216" w:rsidRPr="009A09FD" w:rsidP="003C6CDA" w14:paraId="40C6ABA8" w14:textId="052367DD">
      <w:pPr>
        <w:pStyle w:val="Heading3"/>
        <w:rPr>
          <w:snapToGrid w:val="0"/>
        </w:rPr>
      </w:pPr>
      <w:r w:rsidRPr="009A09FD">
        <w:rPr>
          <w:snapToGrid w:val="0"/>
        </w:rPr>
        <w:t xml:space="preserve">not to, and to </w:t>
      </w:r>
      <w:r w:rsidRPr="009A09FD" w:rsidR="00E0586C">
        <w:rPr>
          <w:snapToGrid w:val="0"/>
        </w:rPr>
        <w:t>procure</w:t>
      </w:r>
      <w:r w:rsidRPr="009A09FD">
        <w:rPr>
          <w:snapToGrid w:val="0"/>
        </w:rPr>
        <w:t xml:space="preserve"> its Affiliates and any person acting on its or their behalf not to, offer or sell any Offer Shares or other securities of the Company, if any, or directly or indirectly solicit any offers to buy any Offer Shares or other securities of the Company, if any, from institutional investors or members of the public in the United States or any other jurisdiction in any circumstances that would require the registration of any of the Offer Shares under the Securities Act or under the securities laws of such other jurisdiction or if such a sale would result in a violation of the Securities Act or the relevant securities law of such other jurisdiction;</w:t>
      </w:r>
    </w:p>
    <w:p w:rsidR="001C5107" w:rsidRPr="009A09FD" w:rsidP="003C6CDA" w14:paraId="52A4ACA6" w14:textId="1B3E4669">
      <w:pPr>
        <w:pStyle w:val="Heading3"/>
        <w:rPr>
          <w:snapToGrid w:val="0"/>
        </w:rPr>
      </w:pPr>
      <w:r w:rsidRPr="009A09FD">
        <w:rPr>
          <w:snapToGrid w:val="0"/>
        </w:rPr>
        <w:t xml:space="preserve">not to, and to </w:t>
      </w:r>
      <w:r w:rsidRPr="009A09FD" w:rsidR="004A59CD">
        <w:rPr>
          <w:snapToGrid w:val="0"/>
        </w:rPr>
        <w:t xml:space="preserve">procure </w:t>
      </w:r>
      <w:r w:rsidRPr="009A09FD">
        <w:rPr>
          <w:snapToGrid w:val="0"/>
        </w:rPr>
        <w:t xml:space="preserve">its Affiliates or any person acting on its or their behalf not to, directly or indirectly, solicit any offer to buy, sell or make any offer or sale of, or otherwise negotiate in respect of, shares of the Company of any class if, as a result of the doctrine of “integration” referred to in Rule </w:t>
      </w:r>
      <w:bookmarkStart w:id="100" w:name="DocXTextRef57"/>
      <w:r w:rsidRPr="009A09FD">
        <w:rPr>
          <w:snapToGrid w:val="0"/>
        </w:rPr>
        <w:t>502</w:t>
      </w:r>
      <w:bookmarkEnd w:id="100"/>
      <w:r w:rsidRPr="009A09FD">
        <w:rPr>
          <w:snapToGrid w:val="0"/>
        </w:rPr>
        <w:t xml:space="preserve"> under the Securities Act, such offer or sale would render invalid </w:t>
      </w:r>
      <w:r w:rsidRPr="009A09FD" w:rsidR="003757E8">
        <w:rPr>
          <w:snapToGrid w:val="0"/>
        </w:rPr>
        <w:t xml:space="preserve">(for the purposes of </w:t>
      </w:r>
      <w:bookmarkStart w:id="101" w:name="DocXTextRef58"/>
      <w:r w:rsidRPr="009A09FD">
        <w:rPr>
          <w:snapToGrid w:val="0"/>
        </w:rPr>
        <w:t>(A)</w:t>
      </w:r>
      <w:bookmarkEnd w:id="101"/>
      <w:r w:rsidRPr="009A09FD">
        <w:rPr>
          <w:snapToGrid w:val="0"/>
        </w:rPr>
        <w:t xml:space="preserve"> the sale of the Offer Shares by the Company to the International Underwriters</w:t>
      </w:r>
      <w:r w:rsidRPr="009A09FD" w:rsidR="00FB3DD9">
        <w:rPr>
          <w:snapToGrid w:val="0"/>
        </w:rPr>
        <w:t>,</w:t>
      </w:r>
      <w:r w:rsidRPr="009A09FD" w:rsidR="00144E61">
        <w:rPr>
          <w:snapToGrid w:val="0"/>
        </w:rPr>
        <w:t xml:space="preserve"> </w:t>
      </w:r>
      <w:bookmarkStart w:id="102" w:name="DocXTextRef59"/>
      <w:r w:rsidRPr="009A09FD">
        <w:rPr>
          <w:snapToGrid w:val="0"/>
        </w:rPr>
        <w:t>(B)</w:t>
      </w:r>
      <w:bookmarkEnd w:id="102"/>
      <w:r w:rsidRPr="009A09FD">
        <w:rPr>
          <w:snapToGrid w:val="0"/>
        </w:rPr>
        <w:t xml:space="preserve"> the resale of the Offer Shares by the International Underwriters to subsequent purchasers</w:t>
      </w:r>
      <w:r w:rsidRPr="009A09FD" w:rsidR="00FB3DD9">
        <w:rPr>
          <w:snapToGrid w:val="0"/>
        </w:rPr>
        <w:t>, or (C) the resale of the Offer Shares by such subsequent purchaser to others</w:t>
      </w:r>
      <w:r w:rsidRPr="009A09FD" w:rsidR="003476B4">
        <w:rPr>
          <w:snapToGrid w:val="0"/>
        </w:rPr>
        <w:t>)</w:t>
      </w:r>
      <w:r w:rsidRPr="009A09FD" w:rsidR="00144E61">
        <w:rPr>
          <w:snapToGrid w:val="0"/>
        </w:rPr>
        <w:t xml:space="preserve"> </w:t>
      </w:r>
      <w:r w:rsidRPr="009A09FD" w:rsidR="00221812">
        <w:rPr>
          <w:snapToGrid w:val="0"/>
        </w:rPr>
        <w:t>the exemption from the registration requirements of the Securities Act provided by Section 4(a)(2) thereof or by Rule 144A or the safe harbor provided by Regulation S thereunder or otherwise</w:t>
      </w:r>
      <w:r w:rsidRPr="009A09FD">
        <w:rPr>
          <w:snapToGrid w:val="0"/>
        </w:rPr>
        <w:t>;</w:t>
      </w:r>
      <w:bookmarkEnd w:id="99"/>
    </w:p>
    <w:p w:rsidR="00E7758E" w:rsidRPr="009A09FD" w:rsidP="003C6CDA" w14:paraId="5B62B5C6" w14:textId="6124F3CC">
      <w:pPr>
        <w:pStyle w:val="Heading3"/>
        <w:rPr>
          <w:snapToGrid w:val="0"/>
        </w:rPr>
      </w:pPr>
      <w:bookmarkStart w:id="103" w:name="_Ref367265609"/>
      <w:r w:rsidRPr="009A09FD">
        <w:rPr>
          <w:snapToGrid w:val="0"/>
        </w:rPr>
        <w:t xml:space="preserve">not to be or become, at any time prior to the expiration of </w:t>
      </w:r>
      <w:r w:rsidRPr="009A09FD" w:rsidR="0047702F">
        <w:rPr>
          <w:snapToGrid w:val="0"/>
        </w:rPr>
        <w:t>one</w:t>
      </w:r>
      <w:r w:rsidRPr="009A09FD">
        <w:rPr>
          <w:snapToGrid w:val="0"/>
        </w:rPr>
        <w:t xml:space="preserve"> year after the First Time of Delivery or, if applicable, the latest Time of Delivery, an open-end investment company, unit investment trust, closed-end investment company or face-amount certificate company that is required to be registered under Section 8 of the Investment Company Act of 1940, as amende</w:t>
      </w:r>
      <w:r w:rsidRPr="009A09FD" w:rsidR="00680284">
        <w:rPr>
          <w:snapToGrid w:val="0"/>
        </w:rPr>
        <w:t>d</w:t>
      </w:r>
      <w:r w:rsidRPr="009A09FD">
        <w:rPr>
          <w:snapToGrid w:val="0"/>
        </w:rPr>
        <w:t>;</w:t>
      </w:r>
    </w:p>
    <w:p w:rsidR="001C5107" w:rsidRPr="009A09FD" w:rsidP="003C6CDA" w14:paraId="12803AB8" w14:textId="023ECEAD">
      <w:pPr>
        <w:pStyle w:val="Heading3"/>
        <w:rPr>
          <w:snapToGrid w:val="0"/>
        </w:rPr>
      </w:pPr>
      <w:r w:rsidRPr="009A09FD">
        <w:rPr>
          <w:snapToGrid w:val="0"/>
        </w:rPr>
        <w:t xml:space="preserve">to apply the net proceeds from the sale of the Offer Shares in the manner set forth in the section of each of the Disclosure Package and the </w:t>
      </w:r>
      <w:r w:rsidRPr="009A09FD" w:rsidR="005F428E">
        <w:rPr>
          <w:snapToGrid w:val="0"/>
        </w:rPr>
        <w:t>Offering Circular</w:t>
      </w:r>
      <w:r w:rsidRPr="009A09FD">
        <w:rPr>
          <w:snapToGrid w:val="0"/>
        </w:rPr>
        <w:t xml:space="preserve"> </w:t>
      </w:r>
      <w:r w:rsidRPr="009A09FD">
        <w:rPr>
          <w:rFonts w:hint="eastAsia"/>
          <w:snapToGrid w:val="0"/>
        </w:rPr>
        <w:t>headed</w:t>
      </w:r>
      <w:r w:rsidRPr="009A09FD">
        <w:rPr>
          <w:snapToGrid w:val="0"/>
        </w:rPr>
        <w:t xml:space="preserve"> “Future Plans and Use of Proceeds”;</w:t>
      </w:r>
      <w:bookmarkEnd w:id="103"/>
    </w:p>
    <w:p w:rsidR="001C5107" w:rsidRPr="009A09FD" w:rsidP="003C6CDA" w14:paraId="5C595339" w14:textId="66689347">
      <w:pPr>
        <w:pStyle w:val="Heading3"/>
        <w:rPr>
          <w:snapToGrid w:val="0"/>
        </w:rPr>
      </w:pPr>
      <w:bookmarkStart w:id="104" w:name="_Ref367265610"/>
      <w:r w:rsidRPr="009A09FD">
        <w:rPr>
          <w:snapToGrid w:val="0"/>
        </w:rPr>
        <w:t xml:space="preserve">not to, and to </w:t>
      </w:r>
      <w:r w:rsidRPr="009A09FD" w:rsidR="00D73BB2">
        <w:rPr>
          <w:snapToGrid w:val="0"/>
        </w:rPr>
        <w:t>procure</w:t>
      </w:r>
      <w:r w:rsidRPr="009A09FD">
        <w:rPr>
          <w:snapToGrid w:val="0"/>
        </w:rPr>
        <w:t xml:space="preserve"> each of the Company’s subsidiaries and the Company’s and the subsidiaries’ directors, officers, promoters, supervisors, managers, employees, Affiliates, agents and any person </w:t>
      </w:r>
      <w:r w:rsidRPr="009A09FD" w:rsidR="00C35B89">
        <w:rPr>
          <w:snapToGrid w:val="0"/>
        </w:rPr>
        <w:t xml:space="preserve">associated with or </w:t>
      </w:r>
      <w:r w:rsidRPr="009A09FD">
        <w:rPr>
          <w:snapToGrid w:val="0"/>
        </w:rPr>
        <w:t xml:space="preserve">acting on behalf of the Company or its subsidiaries or on behalf of any of the foregoing persons not to, use, directly or indirectly, any proceeds from the sale of the Offer Shares </w:t>
      </w:r>
      <w:bookmarkStart w:id="105" w:name="DocXTextRef62"/>
      <w:r w:rsidRPr="009A09FD" w:rsidR="00C35B89">
        <w:rPr>
          <w:snapToGrid w:val="0"/>
        </w:rPr>
        <w:t xml:space="preserve">or lend, contribute or otherwise make available such proceeds to any subsidiary, joint venture partner or other person or entity </w:t>
      </w:r>
      <w:r w:rsidRPr="009A09FD">
        <w:rPr>
          <w:snapToGrid w:val="0"/>
        </w:rPr>
        <w:t>(A)</w:t>
      </w:r>
      <w:bookmarkEnd w:id="105"/>
      <w:r w:rsidRPr="009A09FD">
        <w:rPr>
          <w:snapToGrid w:val="0"/>
        </w:rPr>
        <w:t xml:space="preserve"> to fund</w:t>
      </w:r>
      <w:r w:rsidRPr="009A09FD" w:rsidR="00EA10D4">
        <w:rPr>
          <w:snapToGrid w:val="0"/>
        </w:rPr>
        <w:t xml:space="preserve"> or facilitate</w:t>
      </w:r>
      <w:r w:rsidRPr="009A09FD">
        <w:rPr>
          <w:snapToGrid w:val="0"/>
        </w:rPr>
        <w:t>, directly or indirectly, activities</w:t>
      </w:r>
      <w:r w:rsidRPr="009A09FD" w:rsidR="00C35B89">
        <w:rPr>
          <w:snapToGrid w:val="0"/>
        </w:rPr>
        <w:t xml:space="preserve"> of</w:t>
      </w:r>
      <w:r w:rsidRPr="009A09FD">
        <w:rPr>
          <w:snapToGrid w:val="0"/>
        </w:rPr>
        <w:t xml:space="preserve"> or business with, or for the benefit of, any government, individual or entity that is the </w:t>
      </w:r>
      <w:r w:rsidRPr="009A09FD" w:rsidR="007B6205">
        <w:rPr>
          <w:snapToGrid w:val="0"/>
        </w:rPr>
        <w:t>target</w:t>
      </w:r>
      <w:r w:rsidRPr="009A09FD">
        <w:rPr>
          <w:snapToGrid w:val="0"/>
        </w:rPr>
        <w:t xml:space="preserve"> of any OFAC-administered sanctions or any other sanctions under the Sanctions Laws and Regulations (as defined in </w:t>
      </w:r>
      <w:r w:rsidRPr="009A09FD" w:rsidR="00E27A4E">
        <w:rPr>
          <w:snapToGrid w:val="0"/>
        </w:rPr>
        <w:t>[Appendix IV]</w:t>
      </w:r>
      <w:r w:rsidRPr="009A09FD">
        <w:rPr>
          <w:snapToGrid w:val="0"/>
        </w:rPr>
        <w:t>);</w:t>
      </w:r>
      <w:r w:rsidRPr="009A09FD" w:rsidR="00C35B89">
        <w:rPr>
          <w:snapToGrid w:val="0"/>
        </w:rPr>
        <w:t xml:space="preserve"> (B) to fund or facilitate any activities of or business in any Sanctioned Country</w:t>
      </w:r>
      <w:r w:rsidRPr="009A09FD">
        <w:rPr>
          <w:snapToGrid w:val="0"/>
        </w:rPr>
        <w:t xml:space="preserve"> or </w:t>
      </w:r>
      <w:bookmarkStart w:id="106" w:name="DocXTextRef63"/>
      <w:r w:rsidRPr="009A09FD">
        <w:rPr>
          <w:snapToGrid w:val="0"/>
        </w:rPr>
        <w:t>(</w:t>
      </w:r>
      <w:r w:rsidRPr="009A09FD" w:rsidR="00C35B89">
        <w:rPr>
          <w:snapToGrid w:val="0"/>
        </w:rPr>
        <w:t>C</w:t>
      </w:r>
      <w:r w:rsidRPr="009A09FD">
        <w:rPr>
          <w:snapToGrid w:val="0"/>
        </w:rPr>
        <w:t>)</w:t>
      </w:r>
      <w:bookmarkEnd w:id="106"/>
      <w:r w:rsidRPr="009A09FD">
        <w:rPr>
          <w:snapToGrid w:val="0"/>
        </w:rPr>
        <w:t xml:space="preserve"> in a manner that would result in a violation by any </w:t>
      </w:r>
      <w:r w:rsidRPr="009A09FD">
        <w:rPr>
          <w:rFonts w:hint="eastAsia"/>
          <w:snapToGrid w:val="0"/>
        </w:rPr>
        <w:t>p</w:t>
      </w:r>
      <w:r w:rsidRPr="009A09FD">
        <w:rPr>
          <w:snapToGrid w:val="0"/>
        </w:rPr>
        <w:t xml:space="preserve">erson </w:t>
      </w:r>
      <w:r w:rsidRPr="009A09FD">
        <w:rPr>
          <w:rFonts w:hint="eastAsia"/>
          <w:snapToGrid w:val="0"/>
        </w:rPr>
        <w:t xml:space="preserve">or entity </w:t>
      </w:r>
      <w:r w:rsidRPr="009A09FD">
        <w:rPr>
          <w:snapToGrid w:val="0"/>
        </w:rPr>
        <w:t xml:space="preserve">(including, any </w:t>
      </w:r>
      <w:r w:rsidRPr="009A09FD">
        <w:rPr>
          <w:rFonts w:hint="eastAsia"/>
          <w:snapToGrid w:val="0"/>
        </w:rPr>
        <w:t>p</w:t>
      </w:r>
      <w:r w:rsidRPr="009A09FD">
        <w:rPr>
          <w:snapToGrid w:val="0"/>
        </w:rPr>
        <w:t xml:space="preserve">erson </w:t>
      </w:r>
      <w:r w:rsidRPr="009A09FD">
        <w:rPr>
          <w:rFonts w:hint="eastAsia"/>
          <w:snapToGrid w:val="0"/>
        </w:rPr>
        <w:t xml:space="preserve">or entity </w:t>
      </w:r>
      <w:r w:rsidRPr="009A09FD">
        <w:rPr>
          <w:snapToGrid w:val="0"/>
        </w:rPr>
        <w:t xml:space="preserve">participating in the </w:t>
      </w:r>
      <w:r w:rsidRPr="009A09FD">
        <w:rPr>
          <w:rFonts w:hint="eastAsia"/>
          <w:snapToGrid w:val="0"/>
        </w:rPr>
        <w:t>Global Offering</w:t>
      </w:r>
      <w:r w:rsidRPr="009A09FD">
        <w:rPr>
          <w:snapToGrid w:val="0"/>
        </w:rPr>
        <w:t xml:space="preserve">, whether as underwriter, advisor, investor or otherwise) of any of the Sanctions Laws and Regulations.  The Company </w:t>
      </w:r>
      <w:r w:rsidRPr="009A09FD" w:rsidR="007B6205">
        <w:rPr>
          <w:snapToGrid w:val="0"/>
        </w:rPr>
        <w:t xml:space="preserve">will not, </w:t>
      </w:r>
      <w:r w:rsidRPr="009A09FD">
        <w:rPr>
          <w:snapToGrid w:val="0"/>
        </w:rPr>
        <w:t xml:space="preserve">and </w:t>
      </w:r>
      <w:r w:rsidRPr="009A09FD" w:rsidR="007B6205">
        <w:rPr>
          <w:snapToGrid w:val="0"/>
        </w:rPr>
        <w:t xml:space="preserve">will procure </w:t>
      </w:r>
      <w:r w:rsidRPr="009A09FD">
        <w:rPr>
          <w:snapToGrid w:val="0"/>
        </w:rPr>
        <w:t xml:space="preserve">its subsidiaries </w:t>
      </w:r>
      <w:r w:rsidRPr="009A09FD" w:rsidR="007B6205">
        <w:rPr>
          <w:snapToGrid w:val="0"/>
        </w:rPr>
        <w:t>not to,</w:t>
      </w:r>
      <w:r w:rsidRPr="009A09FD">
        <w:rPr>
          <w:snapToGrid w:val="0"/>
        </w:rPr>
        <w:t xml:space="preserve"> engage in any dealings or transactions with any Person, or in any country or territory, that at the time of the dealing or transaction is </w:t>
      </w:r>
      <w:r w:rsidRPr="009A09FD" w:rsidR="007B6205">
        <w:rPr>
          <w:snapToGrid w:val="0"/>
        </w:rPr>
        <w:t>the target of</w:t>
      </w:r>
      <w:r w:rsidRPr="009A09FD" w:rsidR="00F17173">
        <w:rPr>
          <w:snapToGrid w:val="0"/>
        </w:rPr>
        <w:t xml:space="preserve"> any Sanctions Laws and Regulations</w:t>
      </w:r>
      <w:r w:rsidRPr="009A09FD" w:rsidR="006C5699">
        <w:rPr>
          <w:snapToGrid w:val="0"/>
        </w:rPr>
        <w:t xml:space="preserve">, and will not violate any export control and import laws and regulations in the U.S., China and other </w:t>
      </w:r>
      <w:r w:rsidRPr="009A09FD" w:rsidR="007B6205">
        <w:rPr>
          <w:snapToGrid w:val="0"/>
        </w:rPr>
        <w:t>applicable jurisdiction</w:t>
      </w:r>
      <w:r w:rsidRPr="009A09FD" w:rsidR="006C5699">
        <w:rPr>
          <w:snapToGrid w:val="0"/>
        </w:rPr>
        <w:t xml:space="preserve">, including the </w:t>
      </w:r>
      <w:r w:rsidRPr="009A09FD" w:rsidR="0096301F">
        <w:rPr>
          <w:snapToGrid w:val="0"/>
        </w:rPr>
        <w:t>Export Administration Regulations</w:t>
      </w:r>
      <w:r w:rsidRPr="009A09FD" w:rsidR="00C56BDE">
        <w:rPr>
          <w:snapToGrid w:val="0"/>
        </w:rPr>
        <w:t>, the U.S. Customs regulations, and various economic sanctions regulations administered by the OFAC</w:t>
      </w:r>
      <w:r w:rsidRPr="009A09FD">
        <w:rPr>
          <w:snapToGrid w:val="0"/>
        </w:rPr>
        <w:t>;</w:t>
      </w:r>
      <w:bookmarkEnd w:id="104"/>
    </w:p>
    <w:p w:rsidR="002B7DE2" w:rsidRPr="009A09FD" w:rsidP="003C6CDA" w14:paraId="176EA589" w14:textId="25C70110">
      <w:pPr>
        <w:pStyle w:val="Heading3"/>
        <w:rPr>
          <w:snapToGrid w:val="0"/>
        </w:rPr>
      </w:pPr>
      <w:bookmarkStart w:id="107" w:name="_Ref367265612"/>
      <w:r w:rsidRPr="009A09FD">
        <w:t>during the period of one year after the First Time of Delivery or, if applicable, the latest Time of Delivery, not to, and not to permit any of its Affiliates to, resell any of the Offer Shares that have been reacquired by any of them;</w:t>
      </w:r>
    </w:p>
    <w:p w:rsidR="001C5107" w:rsidRPr="009A09FD" w:rsidP="003C6CDA" w14:paraId="02A94EB2" w14:textId="5E32282E">
      <w:pPr>
        <w:pStyle w:val="Heading3"/>
        <w:rPr>
          <w:snapToGrid w:val="0"/>
        </w:rPr>
      </w:pPr>
      <w:r w:rsidRPr="009A09FD">
        <w:rPr>
          <w:snapToGrid w:val="0"/>
        </w:rPr>
        <w:t>[</w:t>
      </w:r>
      <w:r w:rsidRPr="009A09FD" w:rsidR="0045566B">
        <w:rPr>
          <w:snapToGrid w:val="0"/>
        </w:rPr>
        <w:t xml:space="preserve">except pursuant to the Global Offering (including pursuant to the Over-allotment Option), at any time after the date of </w:t>
      </w:r>
      <w:r w:rsidRPr="009A09FD" w:rsidR="00EB1CC6">
        <w:rPr>
          <w:snapToGrid w:val="0"/>
        </w:rPr>
        <w:t xml:space="preserve">this </w:t>
      </w:r>
      <w:r w:rsidRPr="009A09FD" w:rsidR="0045566B">
        <w:rPr>
          <w:snapToGrid w:val="0"/>
        </w:rPr>
        <w:t>Agreement up to and including the date falling six months after the Listing Date</w:t>
      </w:r>
      <w:r w:rsidR="008D2840">
        <w:rPr>
          <w:snapToGrid w:val="0"/>
        </w:rPr>
        <w:t xml:space="preserve"> (as defined in the Hong Kong Underwriting Agreement)</w:t>
      </w:r>
      <w:r w:rsidRPr="009A09FD" w:rsidR="0045566B">
        <w:rPr>
          <w:snapToGrid w:val="0"/>
        </w:rPr>
        <w:t xml:space="preserve"> (the “</w:t>
      </w:r>
      <w:r w:rsidRPr="009A09FD" w:rsidR="0045566B">
        <w:rPr>
          <w:b/>
          <w:snapToGrid w:val="0"/>
        </w:rPr>
        <w:t>First Six Month Period</w:t>
      </w:r>
      <w:r w:rsidRPr="009A09FD" w:rsidR="0045566B">
        <w:rPr>
          <w:snapToGrid w:val="0"/>
        </w:rPr>
        <w:t xml:space="preserve">”), not to, without the prior written consent of the </w:t>
      </w:r>
      <w:r w:rsidRPr="009A09FD" w:rsidR="00D20843">
        <w:rPr>
          <w:snapToGrid w:val="0"/>
        </w:rPr>
        <w:t xml:space="preserve">Joint Sponsors, the </w:t>
      </w:r>
      <w:r w:rsidRPr="009A09FD" w:rsidR="00DD4DD5">
        <w:rPr>
          <w:snapToGrid w:val="0"/>
        </w:rPr>
        <w:t xml:space="preserve">Overall Coordinators </w:t>
      </w:r>
      <w:r w:rsidRPr="009A09FD" w:rsidR="003E5094">
        <w:rPr>
          <w:snapToGrid w:val="0"/>
        </w:rPr>
        <w:t xml:space="preserve">and the Joint Global Coordinators </w:t>
      </w:r>
      <w:r w:rsidRPr="009A09FD" w:rsidR="0045566B">
        <w:rPr>
          <w:snapToGrid w:val="0"/>
        </w:rPr>
        <w:t>(for themselves and on behalf of the International Underwriters)</w:t>
      </w:r>
      <w:r w:rsidRPr="009A09FD" w:rsidR="00EB1CC6">
        <w:rPr>
          <w:snapToGrid w:val="0"/>
        </w:rPr>
        <w:t xml:space="preserve"> </w:t>
      </w:r>
      <w:r w:rsidRPr="009A09FD" w:rsidR="0045566B">
        <w:rPr>
          <w:snapToGrid w:val="0"/>
        </w:rPr>
        <w:t>and unless in compliance with the requirements of the Listing Rules:</w:t>
      </w:r>
      <w:r w:rsidRPr="009A09FD" w:rsidR="0045566B">
        <w:rPr>
          <w:rFonts w:hint="eastAsia"/>
          <w:snapToGrid w:val="0"/>
        </w:rPr>
        <w:t xml:space="preserve"> </w:t>
      </w:r>
    </w:p>
    <w:p w:rsidR="00A3783B" w:rsidRPr="009A09FD" w:rsidP="003C6CDA" w14:paraId="5DD6BCDA" w14:textId="578B763E">
      <w:pPr>
        <w:pStyle w:val="Heading4"/>
        <w:rPr>
          <w:snapToGrid w:val="0"/>
        </w:rPr>
      </w:pPr>
      <w:bookmarkStart w:id="108" w:name="_Ref517407856"/>
      <w:bookmarkStart w:id="109" w:name="_Hlk517390185"/>
      <w:r w:rsidRPr="009A09FD">
        <w:rPr>
          <w:szCs w:val="22"/>
        </w:rPr>
        <w:t xml:space="preserve">allot, issue, sell, accept subscription for, offer to allot, issue or sell, contract or agree to allot, issue or sell, </w:t>
      </w:r>
      <w:r w:rsidRPr="009A09FD">
        <w:rPr>
          <w:rFonts w:hint="eastAsia"/>
          <w:szCs w:val="22"/>
          <w:lang w:eastAsia="zh-CN"/>
        </w:rPr>
        <w:t xml:space="preserve">assign, </w:t>
      </w:r>
      <w:r w:rsidRPr="009A09FD">
        <w:rPr>
          <w:szCs w:val="22"/>
        </w:rPr>
        <w:t>mortgage, charge, pledge</w:t>
      </w:r>
      <w:r w:rsidRPr="009A09FD">
        <w:rPr>
          <w:rFonts w:hint="eastAsia"/>
          <w:szCs w:val="22"/>
          <w:lang w:eastAsia="zh-CN"/>
        </w:rPr>
        <w:t xml:space="preserve">, </w:t>
      </w:r>
      <w:r w:rsidRPr="009A09FD">
        <w:rPr>
          <w:szCs w:val="22"/>
        </w:rPr>
        <w:t xml:space="preserve">hypothecate, lend, grant or sell any option, warrant, contract or right to subscribe for or purchase, grant or purchase any option, warrant, contract or right to allot, issue or sell, or otherwise transfer or dispose of or create an Encumbrance over, or agree to transfer or dispose of or create an Encumbrance over, either directly or indirectly, conditionally or unconditionally, </w:t>
      </w:r>
      <w:r w:rsidRPr="009A09FD">
        <w:rPr>
          <w:rFonts w:hint="eastAsia"/>
          <w:szCs w:val="22"/>
          <w:lang w:eastAsia="zh-CN"/>
        </w:rPr>
        <w:t xml:space="preserve">or repurchase, </w:t>
      </w:r>
      <w:r w:rsidRPr="009A09FD">
        <w:rPr>
          <w:szCs w:val="22"/>
        </w:rPr>
        <w:t xml:space="preserve">any legal or beneficial interest in </w:t>
      </w:r>
      <w:r w:rsidRPr="009A09FD" w:rsidR="00A0031F">
        <w:rPr>
          <w:szCs w:val="22"/>
        </w:rPr>
        <w:t xml:space="preserve">any </w:t>
      </w:r>
      <w:r w:rsidRPr="009A09FD" w:rsidR="00A0031F">
        <w:rPr>
          <w:szCs w:val="22"/>
          <w:lang w:eastAsia="zh-CN"/>
        </w:rPr>
        <w:t>S</w:t>
      </w:r>
      <w:r w:rsidRPr="009A09FD" w:rsidR="00A0031F">
        <w:rPr>
          <w:szCs w:val="22"/>
        </w:rPr>
        <w:t>hares</w:t>
      </w:r>
      <w:r w:rsidRPr="009A09FD" w:rsidR="00A0031F">
        <w:rPr>
          <w:rFonts w:hint="eastAsia"/>
          <w:szCs w:val="22"/>
          <w:lang w:eastAsia="zh-CN"/>
        </w:rPr>
        <w:t xml:space="preserve"> </w:t>
      </w:r>
      <w:r w:rsidRPr="009A09FD">
        <w:rPr>
          <w:szCs w:val="22"/>
        </w:rPr>
        <w:t>or other securities of the Company</w:t>
      </w:r>
      <w:r w:rsidRPr="009A09FD">
        <w:rPr>
          <w:rFonts w:hint="eastAsia"/>
          <w:szCs w:val="22"/>
          <w:lang w:eastAsia="zh-CN"/>
        </w:rPr>
        <w:t xml:space="preserve"> </w:t>
      </w:r>
      <w:r w:rsidRPr="009A09FD">
        <w:rPr>
          <w:szCs w:val="22"/>
        </w:rPr>
        <w:t>or any interest in any of the foregoing (including, without limitation, any securities convertible into or exchangeable or exercisable for or that represent the right to receive, or any warrants or other rights to purchase</w:t>
      </w:r>
      <w:r w:rsidRPr="009A09FD">
        <w:rPr>
          <w:rFonts w:hint="eastAsia"/>
          <w:szCs w:val="22"/>
          <w:lang w:eastAsia="zh-CN"/>
        </w:rPr>
        <w:t xml:space="preserve"> </w:t>
      </w:r>
      <w:r w:rsidRPr="009A09FD">
        <w:rPr>
          <w:szCs w:val="22"/>
          <w:lang w:eastAsia="zh-CN"/>
        </w:rPr>
        <w:t xml:space="preserve">any </w:t>
      </w:r>
      <w:r w:rsidRPr="009A09FD" w:rsidR="008446CD">
        <w:rPr>
          <w:szCs w:val="22"/>
          <w:lang w:eastAsia="zh-CN"/>
        </w:rPr>
        <w:t xml:space="preserve">Shares </w:t>
      </w:r>
      <w:r w:rsidRPr="009A09FD">
        <w:rPr>
          <w:szCs w:val="22"/>
          <w:lang w:eastAsia="zh-CN"/>
        </w:rPr>
        <w:t>or other securities of the Company</w:t>
      </w:r>
      <w:r w:rsidRPr="009A09FD">
        <w:rPr>
          <w:szCs w:val="22"/>
        </w:rPr>
        <w:t>, as applicable)</w:t>
      </w:r>
      <w:r w:rsidRPr="009A09FD">
        <w:rPr>
          <w:rFonts w:hint="eastAsia"/>
          <w:szCs w:val="22"/>
          <w:lang w:eastAsia="zh-CN"/>
        </w:rPr>
        <w:t xml:space="preserve">, </w:t>
      </w:r>
      <w:r w:rsidRPr="009A09FD">
        <w:rPr>
          <w:szCs w:val="22"/>
          <w:lang w:eastAsia="zh-CN"/>
        </w:rPr>
        <w:t xml:space="preserve">or deposit any </w:t>
      </w:r>
      <w:r w:rsidRPr="009A09FD" w:rsidR="008446CD">
        <w:rPr>
          <w:szCs w:val="22"/>
          <w:lang w:eastAsia="zh-CN"/>
        </w:rPr>
        <w:t>S</w:t>
      </w:r>
      <w:r w:rsidRPr="009A09FD" w:rsidR="008446CD">
        <w:rPr>
          <w:rFonts w:hint="eastAsia"/>
          <w:szCs w:val="22"/>
          <w:lang w:eastAsia="zh-CN"/>
        </w:rPr>
        <w:t>hare</w:t>
      </w:r>
      <w:r w:rsidRPr="009A09FD" w:rsidR="008446CD">
        <w:rPr>
          <w:szCs w:val="22"/>
          <w:lang w:eastAsia="zh-CN"/>
        </w:rPr>
        <w:t>s</w:t>
      </w:r>
      <w:r w:rsidRPr="009A09FD" w:rsidR="008446CD">
        <w:rPr>
          <w:rFonts w:hint="eastAsia"/>
          <w:szCs w:val="22"/>
          <w:lang w:eastAsia="zh-CN"/>
        </w:rPr>
        <w:t xml:space="preserve"> </w:t>
      </w:r>
      <w:r w:rsidRPr="009A09FD">
        <w:rPr>
          <w:szCs w:val="22"/>
          <w:lang w:eastAsia="zh-CN"/>
        </w:rPr>
        <w:t>or other securities of the Company, as applicable, with a depositary in connection with the issue of depositary receipts</w:t>
      </w:r>
      <w:r w:rsidRPr="009A09FD">
        <w:rPr>
          <w:snapToGrid w:val="0"/>
        </w:rPr>
        <w:t xml:space="preserve">; or </w:t>
      </w:r>
    </w:p>
    <w:p w:rsidR="00A3783B" w:rsidRPr="009A09FD" w:rsidP="003C6CDA" w14:paraId="5C5D9B24" w14:textId="7AB20D9B">
      <w:pPr>
        <w:pStyle w:val="Heading4"/>
        <w:rPr>
          <w:snapToGrid w:val="0"/>
        </w:rPr>
      </w:pPr>
      <w:bookmarkStart w:id="110" w:name="_Ref517407861"/>
      <w:bookmarkEnd w:id="108"/>
      <w:r w:rsidRPr="009A09FD">
        <w:rPr>
          <w:szCs w:val="22"/>
        </w:rPr>
        <w:t>enter into any swap or other arrangement that transfers to another, in whole or in part, any of the economic consequences of ownership</w:t>
      </w:r>
      <w:r w:rsidRPr="009A09FD">
        <w:rPr>
          <w:rFonts w:hint="eastAsia"/>
          <w:szCs w:val="22"/>
          <w:lang w:eastAsia="zh-CN"/>
        </w:rPr>
        <w:t xml:space="preserve"> (</w:t>
      </w:r>
      <w:r w:rsidRPr="009A09FD">
        <w:rPr>
          <w:szCs w:val="22"/>
        </w:rPr>
        <w:t>legal or beneficial</w:t>
      </w:r>
      <w:r w:rsidRPr="009A09FD">
        <w:rPr>
          <w:rFonts w:hint="eastAsia"/>
          <w:szCs w:val="22"/>
          <w:lang w:eastAsia="zh-CN"/>
        </w:rPr>
        <w:t>)</w:t>
      </w:r>
      <w:r w:rsidRPr="009A09FD">
        <w:rPr>
          <w:szCs w:val="22"/>
        </w:rPr>
        <w:t xml:space="preserve"> of </w:t>
      </w:r>
      <w:r w:rsidRPr="009A09FD" w:rsidR="001C672E">
        <w:rPr>
          <w:szCs w:val="22"/>
        </w:rPr>
        <w:t xml:space="preserve">any </w:t>
      </w:r>
      <w:r w:rsidRPr="009A09FD">
        <w:rPr>
          <w:szCs w:val="22"/>
        </w:rPr>
        <w:t>Shares or other securities of the Company, or any interest in any of the foregoing (including, without limitation, any securities convertible into or exchangeable or exercisable for or that represent the right to receive, or any warrants or other rights to purchase, any Shares)</w:t>
      </w:r>
      <w:r w:rsidRPr="009A09FD">
        <w:rPr>
          <w:snapToGrid w:val="0"/>
        </w:rPr>
        <w:t>; or</w:t>
      </w:r>
    </w:p>
    <w:p w:rsidR="00A3783B" w:rsidRPr="009A09FD" w:rsidP="003C6CDA" w14:paraId="2BF755B9" w14:textId="5A026700">
      <w:pPr>
        <w:pStyle w:val="Heading4"/>
        <w:rPr>
          <w:snapToGrid w:val="0"/>
        </w:rPr>
      </w:pPr>
      <w:bookmarkStart w:id="111" w:name="_Ref525313657"/>
      <w:bookmarkEnd w:id="110"/>
      <w:r w:rsidRPr="009A09FD">
        <w:rPr>
          <w:snapToGrid w:val="0"/>
        </w:rPr>
        <w:t>enter into any transaction with the same economic effect as any transaction described in paragraphs (</w:t>
      </w:r>
      <w:r w:rsidRPr="009A09FD" w:rsidR="00E81086">
        <w:rPr>
          <w:snapToGrid w:val="0"/>
        </w:rPr>
        <w:t>i</w:t>
      </w:r>
      <w:r w:rsidRPr="009A09FD">
        <w:rPr>
          <w:snapToGrid w:val="0"/>
        </w:rPr>
        <w:t>) or (</w:t>
      </w:r>
      <w:r w:rsidRPr="009A09FD" w:rsidR="00E81086">
        <w:rPr>
          <w:snapToGrid w:val="0"/>
        </w:rPr>
        <w:t>ii</w:t>
      </w:r>
      <w:r w:rsidRPr="009A09FD">
        <w:rPr>
          <w:snapToGrid w:val="0"/>
        </w:rPr>
        <w:t>) above; or</w:t>
      </w:r>
    </w:p>
    <w:bookmarkEnd w:id="111"/>
    <w:p w:rsidR="00A3783B" w:rsidRPr="009A09FD" w:rsidP="003C6CDA" w14:paraId="3AD50B59" w14:textId="0C5F5ED7">
      <w:pPr>
        <w:pStyle w:val="Heading4"/>
        <w:rPr>
          <w:snapToGrid w:val="0"/>
        </w:rPr>
      </w:pPr>
      <w:r w:rsidRPr="009A09FD">
        <w:rPr>
          <w:snapToGrid w:val="0"/>
        </w:rPr>
        <w:t xml:space="preserve">offer to or agree to do any of the foregoing specified in paragraphs (i), (ii) or (iii) or announce </w:t>
      </w:r>
      <w:r w:rsidRPr="009A09FD" w:rsidR="00B003E2">
        <w:rPr>
          <w:snapToGrid w:val="0"/>
        </w:rPr>
        <w:t xml:space="preserve">or publicly disclose </w:t>
      </w:r>
      <w:r w:rsidRPr="009A09FD">
        <w:rPr>
          <w:snapToGrid w:val="0"/>
        </w:rPr>
        <w:t>any intention to do so,</w:t>
      </w:r>
    </w:p>
    <w:p w:rsidR="001C5107" w:rsidRPr="009A09FD" w:rsidP="003C6CDA" w14:paraId="18CCC7CC" w14:textId="1EB41E1F">
      <w:pPr>
        <w:pStyle w:val="BodyText2"/>
        <w:rPr>
          <w:snapToGrid w:val="0"/>
        </w:rPr>
      </w:pPr>
      <w:r w:rsidRPr="009A09FD">
        <w:rPr>
          <w:snapToGrid w:val="0"/>
        </w:rPr>
        <w:t xml:space="preserve">in each case, whether any of the foregoing transactions is to be settled by delivery of </w:t>
      </w:r>
      <w:r w:rsidRPr="009A09FD" w:rsidR="00820AE6">
        <w:rPr>
          <w:snapToGrid w:val="0"/>
        </w:rPr>
        <w:t xml:space="preserve">Shares </w:t>
      </w:r>
      <w:r w:rsidRPr="009A09FD">
        <w:rPr>
          <w:snapToGrid w:val="0"/>
        </w:rPr>
        <w:t xml:space="preserve">or other securities, in cash or otherwise (whether or not the issue of such </w:t>
      </w:r>
      <w:r w:rsidRPr="009A09FD" w:rsidR="00012C8E">
        <w:rPr>
          <w:snapToGrid w:val="0"/>
        </w:rPr>
        <w:t xml:space="preserve">Shares </w:t>
      </w:r>
      <w:r w:rsidRPr="009A09FD">
        <w:rPr>
          <w:snapToGrid w:val="0"/>
        </w:rPr>
        <w:t xml:space="preserve">or other securities will be completed within the First Six Month Period). The Company further agrees that, in the event the Company is allowed to enter into any of the transactions described in paragraphs (i), (ii) or (iii) above or offers to or agrees to or announces </w:t>
      </w:r>
      <w:r w:rsidRPr="009A09FD" w:rsidR="008A47A6">
        <w:rPr>
          <w:snapToGrid w:val="0"/>
        </w:rPr>
        <w:t xml:space="preserve">or publicly discloses </w:t>
      </w:r>
      <w:r w:rsidRPr="009A09FD">
        <w:rPr>
          <w:snapToGrid w:val="0"/>
        </w:rPr>
        <w:t>any intention to effect any such transaction during the period of six months commencing on the date on which the First Six Month Period expires (the “</w:t>
      </w:r>
      <w:r w:rsidRPr="009A09FD">
        <w:rPr>
          <w:b/>
          <w:bCs/>
          <w:snapToGrid w:val="0"/>
        </w:rPr>
        <w:t>Second Six Month Period</w:t>
      </w:r>
      <w:r w:rsidRPr="009A09FD">
        <w:rPr>
          <w:snapToGrid w:val="0"/>
        </w:rPr>
        <w:t xml:space="preserve">”), it will take all reasonable steps to ensure that such </w:t>
      </w:r>
      <w:r w:rsidRPr="009A09FD" w:rsidR="008A47A6">
        <w:rPr>
          <w:snapToGrid w:val="0"/>
        </w:rPr>
        <w:t>transaction, agreement, announcement or disclosure (as the case may be)</w:t>
      </w:r>
      <w:r w:rsidRPr="009A09FD">
        <w:rPr>
          <w:snapToGrid w:val="0"/>
        </w:rPr>
        <w:t xml:space="preserve"> will not, and no other act of the Company will, create a disorderly or false market for any Shares or other securities of the Company. The Warranting Shareholders undertake to each of the Joint Sponsors, the Sponsor</w:t>
      </w:r>
      <w:r w:rsidRPr="009A09FD" w:rsidR="00B008A5">
        <w:rPr>
          <w:snapToGrid w:val="0"/>
        </w:rPr>
        <w:t>-</w:t>
      </w:r>
      <w:r w:rsidRPr="009A09FD">
        <w:rPr>
          <w:snapToGrid w:val="0"/>
        </w:rPr>
        <w:t>OC</w:t>
      </w:r>
      <w:r w:rsidRPr="009A09FD" w:rsidR="00B008A5">
        <w:rPr>
          <w:snapToGrid w:val="0"/>
        </w:rPr>
        <w:t>s</w:t>
      </w:r>
      <w:r w:rsidRPr="009A09FD">
        <w:rPr>
          <w:snapToGrid w:val="0"/>
        </w:rPr>
        <w:t>, the Overall Coordinators, the Joint Global Coordinators, the Joint Bookrunners, the Joint Lead Managers</w:t>
      </w:r>
      <w:r w:rsidRPr="009A09FD" w:rsidR="00726A4F">
        <w:rPr>
          <w:snapToGrid w:val="0"/>
        </w:rPr>
        <w:t>, the CMIs</w:t>
      </w:r>
      <w:r w:rsidRPr="009A09FD" w:rsidR="00540C4D">
        <w:rPr>
          <w:snapToGrid w:val="0"/>
        </w:rPr>
        <w:t xml:space="preserve"> and </w:t>
      </w:r>
      <w:r w:rsidRPr="009A09FD">
        <w:rPr>
          <w:snapToGrid w:val="0"/>
        </w:rPr>
        <w:t xml:space="preserve">the International Underwriters that </w:t>
      </w:r>
      <w:r w:rsidRPr="009A09FD" w:rsidR="00A55A31">
        <w:rPr>
          <w:snapToGrid w:val="0"/>
        </w:rPr>
        <w:t>it/he/she</w:t>
      </w:r>
      <w:r w:rsidRPr="009A09FD">
        <w:rPr>
          <w:snapToGrid w:val="0"/>
        </w:rPr>
        <w:t xml:space="preserve"> shall procure the Company to comply with the undertakings in this subsection</w:t>
      </w:r>
      <w:r w:rsidRPr="009A09FD" w:rsidR="004A2E36">
        <w:rPr>
          <w:snapToGrid w:val="0"/>
        </w:rPr>
        <w:t>]</w:t>
      </w:r>
      <w:r>
        <w:rPr>
          <w:rStyle w:val="FootnoteReference"/>
          <w:snapToGrid w:val="0"/>
        </w:rPr>
        <w:footnoteReference w:id="17"/>
      </w:r>
      <w:r w:rsidRPr="009A09FD" w:rsidR="000D5BF1">
        <w:rPr>
          <w:snapToGrid w:val="0"/>
        </w:rPr>
        <w:t>;</w:t>
      </w:r>
      <w:bookmarkStart w:id="112" w:name="A"/>
      <w:bookmarkStart w:id="113" w:name="B"/>
      <w:bookmarkEnd w:id="107"/>
      <w:bookmarkEnd w:id="112"/>
      <w:bookmarkEnd w:id="113"/>
    </w:p>
    <w:p w:rsidR="001C5107" w:rsidRPr="009A09FD" w:rsidP="003C6CDA" w14:paraId="0319A3FF" w14:textId="28F2C139">
      <w:pPr>
        <w:pStyle w:val="Heading3"/>
        <w:rPr>
          <w:snapToGrid w:val="0"/>
        </w:rPr>
      </w:pPr>
      <w:r w:rsidRPr="009A09FD">
        <w:rPr>
          <w:snapToGrid w:val="0"/>
        </w:rPr>
        <w:t>[</w:t>
      </w:r>
      <w:r w:rsidRPr="009A09FD" w:rsidR="0045566B">
        <w:rPr>
          <w:snapToGrid w:val="0"/>
        </w:rPr>
        <w:t xml:space="preserve">not </w:t>
      </w:r>
      <w:r w:rsidRPr="009A09FD" w:rsidR="0045566B">
        <w:rPr>
          <w:rFonts w:hint="eastAsia"/>
          <w:snapToGrid w:val="0"/>
        </w:rPr>
        <w:t xml:space="preserve">to </w:t>
      </w:r>
      <w:r w:rsidRPr="009A09FD" w:rsidR="0045566B">
        <w:rPr>
          <w:snapToGrid w:val="0"/>
        </w:rPr>
        <w:t xml:space="preserve">effect any purchase of the </w:t>
      </w:r>
      <w:r w:rsidRPr="009A09FD" w:rsidR="0045566B">
        <w:rPr>
          <w:rFonts w:hint="eastAsia"/>
          <w:snapToGrid w:val="0"/>
        </w:rPr>
        <w:t>Share</w:t>
      </w:r>
      <w:r w:rsidRPr="009A09FD" w:rsidR="0045566B">
        <w:rPr>
          <w:snapToGrid w:val="0"/>
        </w:rPr>
        <w:t xml:space="preserve">s, or agree to do so, which may reduce the holdings of the </w:t>
      </w:r>
      <w:r w:rsidRPr="009A09FD" w:rsidR="0045566B">
        <w:rPr>
          <w:rFonts w:hint="eastAsia"/>
          <w:snapToGrid w:val="0"/>
        </w:rPr>
        <w:t>Share</w:t>
      </w:r>
      <w:r w:rsidRPr="009A09FD" w:rsidR="0045566B">
        <w:rPr>
          <w:snapToGrid w:val="0"/>
        </w:rPr>
        <w:t xml:space="preserve">s held by the public (as defined in Rule 8.24 of the Listing Rules) to below the minimum public float requirements specified in the Listing Rules </w:t>
      </w:r>
      <w:r w:rsidRPr="009A09FD" w:rsidR="000720A1">
        <w:rPr>
          <w:szCs w:val="22"/>
        </w:rPr>
        <w:t>prior to the expiration of the Second Six Month Period</w:t>
      </w:r>
      <w:r w:rsidRPr="009A09FD" w:rsidR="000720A1">
        <w:rPr>
          <w:snapToGrid w:val="0"/>
        </w:rPr>
        <w:t xml:space="preserve"> </w:t>
      </w:r>
      <w:r w:rsidRPr="009A09FD" w:rsidR="0045566B">
        <w:rPr>
          <w:snapToGrid w:val="0"/>
        </w:rPr>
        <w:t xml:space="preserve">without first having obtained the prior written consent of </w:t>
      </w:r>
      <w:r w:rsidRPr="009A09FD" w:rsidR="00FE1022">
        <w:rPr>
          <w:snapToGrid w:val="0"/>
        </w:rPr>
        <w:t>the Joint Sponsors</w:t>
      </w:r>
      <w:r w:rsidRPr="009A09FD" w:rsidR="003321C7">
        <w:rPr>
          <w:snapToGrid w:val="0"/>
        </w:rPr>
        <w:t xml:space="preserve">, </w:t>
      </w:r>
      <w:r w:rsidRPr="009A09FD" w:rsidR="0045566B">
        <w:rPr>
          <w:snapToGrid w:val="0"/>
        </w:rPr>
        <w:t xml:space="preserve">the </w:t>
      </w:r>
      <w:r w:rsidRPr="009A09FD" w:rsidR="00C6536D">
        <w:rPr>
          <w:snapToGrid w:val="0"/>
        </w:rPr>
        <w:t>Overall Coordinators</w:t>
      </w:r>
      <w:r w:rsidRPr="009A09FD" w:rsidR="003321C7">
        <w:rPr>
          <w:snapToGrid w:val="0"/>
        </w:rPr>
        <w:t xml:space="preserve"> and the Joint Global Coordinators</w:t>
      </w:r>
      <w:r w:rsidRPr="009A09FD" w:rsidR="00C6536D">
        <w:rPr>
          <w:snapToGrid w:val="0"/>
        </w:rPr>
        <w:t xml:space="preserve"> </w:t>
      </w:r>
      <w:r w:rsidRPr="009A09FD" w:rsidR="0045566B">
        <w:rPr>
          <w:snapToGrid w:val="0"/>
        </w:rPr>
        <w:t xml:space="preserve">(for themselves and on behalf of the </w:t>
      </w:r>
      <w:r w:rsidRPr="009A09FD" w:rsidR="0045566B">
        <w:rPr>
          <w:rFonts w:hint="eastAsia"/>
          <w:snapToGrid w:val="0"/>
        </w:rPr>
        <w:t>International</w:t>
      </w:r>
      <w:r w:rsidRPr="009A09FD" w:rsidR="0045566B">
        <w:rPr>
          <w:snapToGrid w:val="0"/>
        </w:rPr>
        <w:t xml:space="preserve"> Underwriters)</w:t>
      </w:r>
      <w:r w:rsidRPr="009A09FD">
        <w:rPr>
          <w:snapToGrid w:val="0"/>
        </w:rPr>
        <w:t>]</w:t>
      </w:r>
      <w:r>
        <w:rPr>
          <w:rStyle w:val="FootnoteReference"/>
          <w:snapToGrid w:val="0"/>
        </w:rPr>
        <w:footnoteReference w:id="18"/>
      </w:r>
      <w:r w:rsidRPr="009A09FD" w:rsidR="0045566B">
        <w:rPr>
          <w:snapToGrid w:val="0"/>
        </w:rPr>
        <w:t>;</w:t>
      </w:r>
      <w:r w:rsidRPr="009A09FD" w:rsidR="0045566B">
        <w:rPr>
          <w:rFonts w:hint="eastAsia"/>
          <w:snapToGrid w:val="0"/>
        </w:rPr>
        <w:t xml:space="preserve"> </w:t>
      </w:r>
    </w:p>
    <w:p w:rsidR="001C5107" w:rsidRPr="009A09FD" w:rsidP="003C6CDA" w14:paraId="09B51AAC" w14:textId="3EA915B3">
      <w:pPr>
        <w:pStyle w:val="Heading3"/>
        <w:rPr>
          <w:snapToGrid w:val="0"/>
        </w:rPr>
      </w:pPr>
      <w:bookmarkStart w:id="114" w:name="_Ref367265616"/>
      <w:bookmarkEnd w:id="109"/>
      <w:r w:rsidRPr="009A09FD">
        <w:rPr>
          <w:snapToGrid w:val="0"/>
        </w:rPr>
        <w:t xml:space="preserve">not to, and to </w:t>
      </w:r>
      <w:r w:rsidRPr="009A09FD" w:rsidR="00FE212C">
        <w:rPr>
          <w:snapToGrid w:val="0"/>
        </w:rPr>
        <w:t>procure</w:t>
      </w:r>
      <w:r w:rsidRPr="009A09FD">
        <w:rPr>
          <w:snapToGrid w:val="0"/>
        </w:rPr>
        <w:t xml:space="preserve"> its Affiliates, subsidiaries or persons acting on its or their behalf (other than the International Underwriters and their respective Affiliates) not to, distribute prior to the last Time of Delivery any offering material in connection with the offer and sale of the Offer Shares other than </w:t>
      </w:r>
      <w:r w:rsidRPr="009A09FD" w:rsidR="001C4B78">
        <w:rPr>
          <w:snapToGrid w:val="0"/>
        </w:rPr>
        <w:t xml:space="preserve">the </w:t>
      </w:r>
      <w:r w:rsidRPr="009A09FD" w:rsidR="00121B0E">
        <w:t xml:space="preserve">Prospectus, </w:t>
      </w:r>
      <w:r w:rsidRPr="009A09FD">
        <w:rPr>
          <w:snapToGrid w:val="0"/>
        </w:rPr>
        <w:t xml:space="preserve">the Disclosure Package and the </w:t>
      </w:r>
      <w:r w:rsidRPr="009A09FD" w:rsidR="005F428E">
        <w:rPr>
          <w:snapToGrid w:val="0"/>
        </w:rPr>
        <w:t>Offering Circular</w:t>
      </w:r>
      <w:r w:rsidRPr="009A09FD">
        <w:rPr>
          <w:snapToGrid w:val="0"/>
        </w:rPr>
        <w:t>;</w:t>
      </w:r>
      <w:bookmarkEnd w:id="114"/>
    </w:p>
    <w:p w:rsidR="001C5107" w:rsidRPr="009A09FD" w:rsidP="003C6CDA" w14:paraId="03CCF256" w14:textId="3D135F78">
      <w:pPr>
        <w:pStyle w:val="Heading3"/>
        <w:rPr>
          <w:snapToGrid w:val="0"/>
        </w:rPr>
      </w:pPr>
      <w:bookmarkStart w:id="115" w:name="_Ref367265617"/>
      <w:r w:rsidRPr="009A09FD">
        <w:rPr>
          <w:snapToGrid w:val="0"/>
        </w:rPr>
        <w:t xml:space="preserve">until the </w:t>
      </w:r>
      <w:r w:rsidRPr="009A09FD" w:rsidR="00C6536D">
        <w:rPr>
          <w:snapToGrid w:val="0"/>
        </w:rPr>
        <w:t>Overall Coordinators</w:t>
      </w:r>
      <w:r w:rsidRPr="009A09FD" w:rsidR="003321C7">
        <w:rPr>
          <w:snapToGrid w:val="0"/>
        </w:rPr>
        <w:t xml:space="preserve"> and the Joint Global Coordinators</w:t>
      </w:r>
      <w:r w:rsidRPr="009A09FD" w:rsidR="00C6536D">
        <w:rPr>
          <w:snapToGrid w:val="0"/>
        </w:rPr>
        <w:t xml:space="preserve"> </w:t>
      </w:r>
      <w:r w:rsidRPr="009A09FD">
        <w:rPr>
          <w:snapToGrid w:val="0"/>
        </w:rPr>
        <w:t xml:space="preserve">have notified the Company of the completion of the distribution of the Offer Shares, not to, and to </w:t>
      </w:r>
      <w:r w:rsidRPr="009A09FD" w:rsidR="00FE212C">
        <w:rPr>
          <w:snapToGrid w:val="0"/>
        </w:rPr>
        <w:t>procure</w:t>
      </w:r>
      <w:r w:rsidRPr="009A09FD">
        <w:rPr>
          <w:snapToGrid w:val="0"/>
        </w:rPr>
        <w:t xml:space="preserve"> its subsidiaries and the Company’s and the subsidiaries’ respective directors, officers, promoters, supervisors, employees, Affiliates and agents and persons acting on behalf of the Company or its subsidiaries or on behalf of any of the foregoing persons not to, either alone or with one or more other persons, engage in, directly or indirectly, any act or course of conduct </w:t>
      </w:r>
      <w:bookmarkStart w:id="116" w:name="DocXTextRef69"/>
      <w:r w:rsidRPr="009A09FD">
        <w:rPr>
          <w:snapToGrid w:val="0"/>
        </w:rPr>
        <w:t>(A)</w:t>
      </w:r>
      <w:bookmarkEnd w:id="116"/>
      <w:r w:rsidRPr="009A09FD">
        <w:rPr>
          <w:snapToGrid w:val="0"/>
        </w:rPr>
        <w:t xml:space="preserve"> that creates a false or misleading impression as to the market in or the value of the Shares and any associated securities, or </w:t>
      </w:r>
      <w:bookmarkStart w:id="117" w:name="DocXTextRef70"/>
      <w:r w:rsidRPr="009A09FD">
        <w:rPr>
          <w:snapToGrid w:val="0"/>
        </w:rPr>
        <w:t>(B)</w:t>
      </w:r>
      <w:bookmarkEnd w:id="117"/>
      <w:r w:rsidRPr="009A09FD">
        <w:rPr>
          <w:snapToGrid w:val="0"/>
        </w:rPr>
        <w:t xml:space="preserve"> the purpose of which is to create actual or apparent active trading in, or to raise the price of, the Shares</w:t>
      </w:r>
      <w:r w:rsidRPr="009A09FD" w:rsidR="004947F9">
        <w:rPr>
          <w:snapToGrid w:val="0"/>
        </w:rPr>
        <w:t>, provided, however, that nothing in clauses (A) and (B) above will prevent the Stabilizing Manager from engaging in transactions to stabilize the market price of the Offer Shar</w:t>
      </w:r>
      <w:r w:rsidRPr="009A09FD" w:rsidR="009927FD">
        <w:rPr>
          <w:snapToGrid w:val="0"/>
        </w:rPr>
        <w:t>e</w:t>
      </w:r>
      <w:r w:rsidRPr="009A09FD" w:rsidR="004947F9">
        <w:rPr>
          <w:snapToGrid w:val="0"/>
        </w:rPr>
        <w:t>s to the extent permitted by Laws</w:t>
      </w:r>
      <w:r w:rsidRPr="009A09FD">
        <w:rPr>
          <w:snapToGrid w:val="0"/>
        </w:rPr>
        <w:t>;</w:t>
      </w:r>
      <w:bookmarkEnd w:id="115"/>
    </w:p>
    <w:p w:rsidR="00B91420" w:rsidRPr="009A09FD" w:rsidP="00AB113A" w14:paraId="7B5A12F5" w14:textId="48B63558">
      <w:pPr>
        <w:pStyle w:val="Heading3"/>
        <w:rPr>
          <w:snapToGrid w:val="0"/>
        </w:rPr>
      </w:pPr>
      <w:bookmarkStart w:id="118" w:name="_Ref367265618"/>
      <w:r w:rsidRPr="009A09FD">
        <w:rPr>
          <w:snapToGrid w:val="0"/>
        </w:rPr>
        <w:t xml:space="preserve">not to, and to procure its subsidiaries and the Company’s and its subsidiaries’ respective directors, officers, promoters, supervisors, employees, Affiliates and agents and person acting on behalf of the Company or its subsidiaries or on behalf of any of foregoing persons not to, </w:t>
      </w:r>
      <w:bookmarkStart w:id="119" w:name="DocXTextRef71"/>
      <w:r w:rsidRPr="009A09FD">
        <w:rPr>
          <w:snapToGrid w:val="0"/>
        </w:rPr>
        <w:t>(A)</w:t>
      </w:r>
      <w:bookmarkEnd w:id="119"/>
      <w:r w:rsidRPr="009A09FD">
        <w:rPr>
          <w:snapToGrid w:val="0"/>
        </w:rPr>
        <w:t xml:space="preserve"> take or facilitate, directly or indirectly, any action which is designed to or which </w:t>
      </w:r>
      <w:r w:rsidRPr="009A09FD" w:rsidR="0083496F">
        <w:rPr>
          <w:snapToGrid w:val="0"/>
        </w:rPr>
        <w:t xml:space="preserve">constitutes </w:t>
      </w:r>
      <w:r w:rsidRPr="009A09FD">
        <w:rPr>
          <w:snapToGrid w:val="0"/>
        </w:rPr>
        <w:t xml:space="preserve">or which might reasonably be expected to cause or result in stabilization or manipulation of the price of any security of the Company to facilitate the sale or resale of any security of the Company or otherwise, </w:t>
      </w:r>
      <w:bookmarkStart w:id="120" w:name="DocXTextRef72"/>
      <w:r w:rsidRPr="009A09FD">
        <w:rPr>
          <w:snapToGrid w:val="0"/>
        </w:rPr>
        <w:t>(B)</w:t>
      </w:r>
      <w:bookmarkEnd w:id="120"/>
      <w:r w:rsidRPr="009A09FD">
        <w:rPr>
          <w:snapToGrid w:val="0"/>
        </w:rPr>
        <w:t xml:space="preserve"> take, directly or indirectly, any action which would constitute a violation of the market misconduct provisions of Parts XIII and XIV of the SFO, </w:t>
      </w:r>
      <w:r w:rsidRPr="009A09FD" w:rsidR="00482F99">
        <w:rPr>
          <w:snapToGrid w:val="0"/>
        </w:rPr>
        <w:t xml:space="preserve">(C) take or omit to take, directly or indirectly, any action which may result in the loss by any of the Joint Sponsors, </w:t>
      </w:r>
      <w:r w:rsidRPr="009A09FD" w:rsidR="00357433">
        <w:rPr>
          <w:snapToGrid w:val="0"/>
        </w:rPr>
        <w:t xml:space="preserve">the Sponsor-OCs, </w:t>
      </w:r>
      <w:r w:rsidRPr="009A09FD" w:rsidR="00482F99">
        <w:rPr>
          <w:snapToGrid w:val="0"/>
        </w:rPr>
        <w:t>the Overall Coordinators, the Joint Global Coordinators, the Joint Bookrunners, the Joint Lead Managers</w:t>
      </w:r>
      <w:r w:rsidRPr="009A09FD" w:rsidR="00726A4F">
        <w:rPr>
          <w:snapToGrid w:val="0"/>
        </w:rPr>
        <w:t>, the CMIs</w:t>
      </w:r>
      <w:r w:rsidRPr="009A09FD" w:rsidR="00482F99">
        <w:rPr>
          <w:snapToGrid w:val="0"/>
        </w:rPr>
        <w:t xml:space="preserve"> or the International Underwriters or any person acting for them as stabilizing manager of the ability to rely on any stabilization safe harbor provided by the Securities and Futures (Price Stabilizing) Rules under the SFO or otherwise</w:t>
      </w:r>
      <w:r w:rsidRPr="009A09FD" w:rsidR="00AB113A">
        <w:rPr>
          <w:snapToGrid w:val="0"/>
        </w:rPr>
        <w:t>, or (D) take or omit to take, directly or indirectly, any action (such as issuing any press release relating to any securities without an appropriate legend) in breach of the terms of the Hong Kong Underwriting Agreement or in violation of the Securities and Futures Ordinance of Hong Kong</w:t>
      </w:r>
      <w:r w:rsidRPr="009A09FD" w:rsidR="00482F99">
        <w:rPr>
          <w:snapToGrid w:val="0"/>
        </w:rPr>
        <w:t>; provided that, for the avoidance of doubt, the Stabiliz</w:t>
      </w:r>
      <w:r w:rsidR="007820A3">
        <w:rPr>
          <w:snapToGrid w:val="0"/>
        </w:rPr>
        <w:t>ing</w:t>
      </w:r>
      <w:r w:rsidRPr="009A09FD" w:rsidR="00482F99">
        <w:rPr>
          <w:snapToGrid w:val="0"/>
        </w:rPr>
        <w:t xml:space="preserve"> Manager may engage in transactions which stabilize the market price of the Offer Shares to the extent permitted by Laws;</w:t>
      </w:r>
    </w:p>
    <w:bookmarkEnd w:id="118"/>
    <w:p w:rsidR="001C5107" w:rsidRPr="009A09FD" w:rsidP="003C6CDA" w14:paraId="174BB40B" w14:textId="70D4B0E3">
      <w:pPr>
        <w:pStyle w:val="Heading3"/>
        <w:rPr>
          <w:snapToGrid w:val="0"/>
        </w:rPr>
      </w:pPr>
      <w:r w:rsidRPr="009A09FD">
        <w:rPr>
          <w:snapToGrid w:val="0"/>
        </w:rPr>
        <w:t xml:space="preserve">maintain (A) accurate books and records and a system of internal accounting controls consistent with paragraph </w:t>
      </w:r>
      <w:r w:rsidRPr="009A09FD" w:rsidR="001D020B">
        <w:rPr>
          <w:snapToGrid w:val="0"/>
        </w:rPr>
        <w:t>[</w:t>
      </w:r>
      <w:r w:rsidRPr="009A09FD" w:rsidR="001B1AF9">
        <w:rPr>
          <w:snapToGrid w:val="0"/>
        </w:rPr>
        <w:t>68</w:t>
      </w:r>
      <w:r w:rsidRPr="009A09FD" w:rsidR="001D020B">
        <w:rPr>
          <w:snapToGrid w:val="0"/>
        </w:rPr>
        <w:t>]</w:t>
      </w:r>
      <w:r w:rsidRPr="009A09FD">
        <w:rPr>
          <w:snapToGrid w:val="0"/>
        </w:rPr>
        <w:t xml:space="preserve"> under </w:t>
      </w:r>
      <w:r w:rsidRPr="009A09FD">
        <w:rPr>
          <w:snapToGrid w:val="0"/>
        </w:rPr>
        <w:fldChar w:fldCharType="begin"/>
      </w:r>
      <w:r w:rsidRPr="009A09FD">
        <w:rPr>
          <w:snapToGrid w:val="0"/>
        </w:rPr>
        <w:instrText xml:space="preserve"> REF _Ref517408050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Part A</w:t>
      </w:r>
      <w:r w:rsidRPr="009A09FD">
        <w:rPr>
          <w:snapToGrid w:val="0"/>
        </w:rPr>
        <w:fldChar w:fldCharType="end"/>
      </w:r>
      <w:r w:rsidRPr="009A09FD">
        <w:rPr>
          <w:snapToGrid w:val="0"/>
        </w:rPr>
        <w:t xml:space="preserve"> of </w:t>
      </w:r>
      <w:r w:rsidRPr="009A09FD" w:rsidR="007D35AE">
        <w:rPr>
          <w:snapToGrid w:val="0"/>
        </w:rPr>
        <w:t>Schedule IV</w:t>
      </w:r>
      <w:r w:rsidRPr="009A09FD" w:rsidR="007D35AE">
        <w:rPr>
          <w:rFonts w:hint="eastAsia"/>
          <w:snapToGrid w:val="0"/>
        </w:rPr>
        <w:t xml:space="preserve"> </w:t>
      </w:r>
      <w:r w:rsidRPr="009A09FD">
        <w:rPr>
          <w:snapToGrid w:val="0"/>
        </w:rPr>
        <w:t>hereof and (B) policies and procedures designed to ensure compliance with the anti-corruption laws of Hong Kong, the PRC and any other jurisdiction applicable to any member of the Group and its business;</w:t>
      </w:r>
    </w:p>
    <w:p w:rsidR="001C5107" w:rsidRPr="009A09FD" w:rsidP="003C6CDA" w14:paraId="4E46D7D9" w14:textId="2E485A73">
      <w:pPr>
        <w:pStyle w:val="Heading3"/>
        <w:rPr>
          <w:snapToGrid w:val="0"/>
        </w:rPr>
      </w:pPr>
      <w:bookmarkStart w:id="121" w:name="_Ref367265619"/>
      <w:r w:rsidRPr="009A09FD">
        <w:rPr>
          <w:snapToGrid w:val="0"/>
        </w:rPr>
        <w:t xml:space="preserve">prior to the completion of the Global Offering as notified by the </w:t>
      </w:r>
      <w:r w:rsidRPr="009A09FD" w:rsidR="00C6536D">
        <w:rPr>
          <w:snapToGrid w:val="0"/>
        </w:rPr>
        <w:t>Overall Coordinators</w:t>
      </w:r>
      <w:r w:rsidRPr="009A09FD" w:rsidR="003321C7">
        <w:rPr>
          <w:snapToGrid w:val="0"/>
        </w:rPr>
        <w:t xml:space="preserve"> and the Joint Global Coordinators</w:t>
      </w:r>
      <w:r w:rsidRPr="009A09FD">
        <w:rPr>
          <w:snapToGrid w:val="0"/>
        </w:rPr>
        <w:t xml:space="preserve">, without prior approval by the </w:t>
      </w:r>
      <w:r w:rsidRPr="009A09FD" w:rsidR="00360A04">
        <w:rPr>
          <w:snapToGrid w:val="0"/>
        </w:rPr>
        <w:t>Overall Coordinators</w:t>
      </w:r>
      <w:r w:rsidRPr="009A09FD" w:rsidR="003321C7">
        <w:rPr>
          <w:snapToGrid w:val="0"/>
        </w:rPr>
        <w:t xml:space="preserve"> and the Joint Global Coordinators</w:t>
      </w:r>
      <w:r w:rsidRPr="009A09FD">
        <w:rPr>
          <w:snapToGrid w:val="0"/>
        </w:rPr>
        <w:t xml:space="preserve">, not to, and not to procure or permit any of its subsidiaries to, </w:t>
      </w:r>
      <w:bookmarkStart w:id="122" w:name="DocXTextRef74"/>
      <w:r w:rsidRPr="009A09FD">
        <w:rPr>
          <w:snapToGrid w:val="0"/>
        </w:rPr>
        <w:t>(A)</w:t>
      </w:r>
      <w:bookmarkEnd w:id="122"/>
      <w:r w:rsidRPr="009A09FD">
        <w:rPr>
          <w:snapToGrid w:val="0"/>
        </w:rPr>
        <w:t xml:space="preserve"> enter into or assume or otherwise agree to be bound by any contract or agreement, </w:t>
      </w:r>
      <w:bookmarkStart w:id="123" w:name="DocXTextRef75"/>
      <w:r w:rsidRPr="009A09FD">
        <w:rPr>
          <w:snapToGrid w:val="0"/>
        </w:rPr>
        <w:t>(B)</w:t>
      </w:r>
      <w:bookmarkEnd w:id="123"/>
      <w:r w:rsidRPr="009A09FD">
        <w:rPr>
          <w:snapToGrid w:val="0"/>
        </w:rPr>
        <w:t xml:space="preserve"> incur, assume or acquire or otherwise agree to become subject to any liability, </w:t>
      </w:r>
      <w:bookmarkStart w:id="124" w:name="DocXTextRef76"/>
      <w:r w:rsidRPr="009A09FD">
        <w:rPr>
          <w:snapToGrid w:val="0"/>
        </w:rPr>
        <w:t>(C)</w:t>
      </w:r>
      <w:bookmarkEnd w:id="124"/>
      <w:r w:rsidRPr="009A09FD">
        <w:rPr>
          <w:snapToGrid w:val="0"/>
        </w:rPr>
        <w:t xml:space="preserve"> acquire or dispose of or agree to acquire or dispose of any business or asset, which in each case would or could reasonably be expected to materially and adversely affect the Global Offering or have </w:t>
      </w:r>
      <w:r w:rsidRPr="009A09FD" w:rsidR="00B63616">
        <w:rPr>
          <w:szCs w:val="22"/>
        </w:rPr>
        <w:t>a material adverse effect</w:t>
      </w:r>
      <w:r w:rsidRPr="009A09FD" w:rsidR="00B63616">
        <w:rPr>
          <w:rFonts w:hint="eastAsia"/>
          <w:szCs w:val="22"/>
        </w:rPr>
        <w:t xml:space="preserve"> or </w:t>
      </w:r>
      <w:r w:rsidRPr="009A09FD" w:rsidR="00B63616">
        <w:rPr>
          <w:szCs w:val="22"/>
        </w:rPr>
        <w:t xml:space="preserve">any development involving a prospective material adverse effect, on </w:t>
      </w:r>
      <w:r w:rsidRPr="009A09FD" w:rsidR="00B63616">
        <w:rPr>
          <w:rFonts w:hint="eastAsia"/>
          <w:szCs w:val="22"/>
        </w:rPr>
        <w:t xml:space="preserve">the </w:t>
      </w:r>
      <w:r w:rsidRPr="009A09FD" w:rsidR="00B63616">
        <w:rPr>
          <w:szCs w:val="22"/>
        </w:rPr>
        <w:t>profits, losses, results of operations, assets, liabilities, general affairs, business, management, performance</w:t>
      </w:r>
      <w:r w:rsidRPr="009A09FD" w:rsidR="00B63616">
        <w:rPr>
          <w:rFonts w:hint="eastAsia"/>
          <w:szCs w:val="22"/>
        </w:rPr>
        <w:t>,</w:t>
      </w:r>
      <w:r w:rsidRPr="009A09FD" w:rsidR="00B63616">
        <w:rPr>
          <w:szCs w:val="22"/>
        </w:rPr>
        <w:t xml:space="preserve"> prospects,</w:t>
      </w:r>
      <w:r w:rsidRPr="009A09FD" w:rsidR="00B63616">
        <w:rPr>
          <w:rFonts w:hint="eastAsia"/>
          <w:szCs w:val="22"/>
          <w:lang w:eastAsia="zh-CN"/>
        </w:rPr>
        <w:t xml:space="preserve"> </w:t>
      </w:r>
      <w:r w:rsidRPr="009A09FD" w:rsidR="00B63616">
        <w:rPr>
          <w:szCs w:val="22"/>
        </w:rPr>
        <w:t>shareholders</w:t>
      </w:r>
      <w:r w:rsidRPr="009A09FD" w:rsidR="00B63616">
        <w:rPr>
          <w:szCs w:val="22"/>
          <w:lang w:eastAsia="zh-CN"/>
        </w:rPr>
        <w:t>’</w:t>
      </w:r>
      <w:r w:rsidRPr="009A09FD" w:rsidR="00B63616">
        <w:rPr>
          <w:szCs w:val="22"/>
        </w:rPr>
        <w:t xml:space="preserve"> equity, </w:t>
      </w:r>
      <w:r w:rsidRPr="009A09FD" w:rsidR="00B63616">
        <w:rPr>
          <w:rFonts w:hint="eastAsia"/>
          <w:szCs w:val="22"/>
        </w:rPr>
        <w:t>position or condition (financial</w:t>
      </w:r>
      <w:r w:rsidRPr="009A09FD" w:rsidR="00B63616">
        <w:rPr>
          <w:szCs w:val="22"/>
        </w:rPr>
        <w:t>, trading</w:t>
      </w:r>
      <w:r w:rsidRPr="009A09FD" w:rsidR="00B63616">
        <w:rPr>
          <w:rFonts w:hint="eastAsia"/>
          <w:szCs w:val="22"/>
        </w:rPr>
        <w:t xml:space="preserve"> or </w:t>
      </w:r>
      <w:r w:rsidRPr="009A09FD" w:rsidR="00B63616">
        <w:rPr>
          <w:szCs w:val="22"/>
        </w:rPr>
        <w:t>otherwise</w:t>
      </w:r>
      <w:r w:rsidRPr="009A09FD" w:rsidR="00B63616">
        <w:rPr>
          <w:rFonts w:hint="eastAsia"/>
          <w:szCs w:val="22"/>
        </w:rPr>
        <w:t xml:space="preserve">) </w:t>
      </w:r>
      <w:r w:rsidRPr="009A09FD" w:rsidR="00B63616">
        <w:rPr>
          <w:szCs w:val="22"/>
        </w:rPr>
        <w:t>of the Group, taken as a whole</w:t>
      </w:r>
      <w:r w:rsidRPr="009A09FD" w:rsidR="00B63616">
        <w:rPr>
          <w:snapToGrid w:val="0"/>
        </w:rPr>
        <w:t xml:space="preserve"> </w:t>
      </w:r>
      <w:r w:rsidRPr="009A09FD" w:rsidR="00015E0C">
        <w:rPr>
          <w:snapToGrid w:val="0"/>
        </w:rPr>
        <w:t>(a “</w:t>
      </w:r>
      <w:r w:rsidRPr="009A09FD" w:rsidR="00015E0C">
        <w:rPr>
          <w:b/>
          <w:bCs/>
          <w:snapToGrid w:val="0"/>
        </w:rPr>
        <w:t>Material Adverse Effect</w:t>
      </w:r>
      <w:r w:rsidRPr="009A09FD" w:rsidR="00015E0C">
        <w:rPr>
          <w:snapToGrid w:val="0"/>
        </w:rPr>
        <w:t>”)</w:t>
      </w:r>
      <w:r w:rsidRPr="009A09FD">
        <w:rPr>
          <w:snapToGrid w:val="0"/>
        </w:rPr>
        <w:t>;</w:t>
      </w:r>
      <w:bookmarkEnd w:id="121"/>
    </w:p>
    <w:p w:rsidR="001C5107" w:rsidRPr="009A09FD" w:rsidP="003C6CDA" w14:paraId="0ED36F1C" w14:textId="222B0319">
      <w:pPr>
        <w:pStyle w:val="Heading3"/>
        <w:rPr>
          <w:snapToGrid w:val="0"/>
        </w:rPr>
      </w:pPr>
      <w:bookmarkStart w:id="125" w:name="_Ref367265620"/>
      <w:r w:rsidRPr="009A09FD">
        <w:rPr>
          <w:snapToGrid w:val="0"/>
        </w:rPr>
        <w:t xml:space="preserve">prior to sixty (60) days after the First Time of Delivery, promptly notify the </w:t>
      </w:r>
      <w:r w:rsidRPr="009A09FD" w:rsidR="00EC730A">
        <w:rPr>
          <w:snapToGrid w:val="0"/>
        </w:rPr>
        <w:t>Overall Coordinators</w:t>
      </w:r>
      <w:r w:rsidRPr="009A09FD" w:rsidR="003321C7">
        <w:rPr>
          <w:snapToGrid w:val="0"/>
        </w:rPr>
        <w:t xml:space="preserve"> and the Joint Global Coordinators</w:t>
      </w:r>
      <w:r w:rsidRPr="009A09FD" w:rsidR="00EC730A">
        <w:rPr>
          <w:snapToGrid w:val="0"/>
        </w:rPr>
        <w:t xml:space="preserve"> </w:t>
      </w:r>
      <w:r w:rsidRPr="009A09FD">
        <w:rPr>
          <w:snapToGrid w:val="0"/>
        </w:rPr>
        <w:t>of any commitment or agreement that it entered into</w:t>
      </w:r>
      <w:r w:rsidRPr="009A09FD" w:rsidR="00B77C3A">
        <w:rPr>
          <w:snapToGrid w:val="0"/>
        </w:rPr>
        <w:t>, which has or could reasonably be expected to have a Material Adverse Effect or adversely affect the Global Offering</w:t>
      </w:r>
      <w:r w:rsidRPr="009A09FD">
        <w:rPr>
          <w:snapToGrid w:val="0"/>
        </w:rPr>
        <w:t>;</w:t>
      </w:r>
    </w:p>
    <w:p w:rsidR="001C5107" w:rsidRPr="009A09FD" w:rsidP="003C6CDA" w14:paraId="605A3F64" w14:textId="7AFAE247">
      <w:pPr>
        <w:pStyle w:val="Heading3"/>
        <w:rPr>
          <w:snapToGrid w:val="0"/>
        </w:rPr>
      </w:pPr>
      <w:r w:rsidRPr="009A09FD">
        <w:rPr>
          <w:snapToGrid w:val="0"/>
        </w:rPr>
        <w:t>upon</w:t>
      </w:r>
      <w:r w:rsidRPr="009A09FD" w:rsidR="001C76D4">
        <w:rPr>
          <w:snapToGrid w:val="0"/>
        </w:rPr>
        <w:t xml:space="preserve"> </w:t>
      </w:r>
      <w:r w:rsidRPr="009A09FD">
        <w:rPr>
          <w:snapToGrid w:val="0"/>
        </w:rPr>
        <w:t xml:space="preserve">request of any </w:t>
      </w:r>
      <w:r w:rsidRPr="009A09FD">
        <w:rPr>
          <w:rFonts w:hint="eastAsia"/>
          <w:snapToGrid w:val="0"/>
        </w:rPr>
        <w:t xml:space="preserve">of </w:t>
      </w:r>
      <w:r w:rsidRPr="009A09FD">
        <w:rPr>
          <w:snapToGrid w:val="0"/>
        </w:rPr>
        <w:t>the International Underwriter</w:t>
      </w:r>
      <w:r w:rsidRPr="009A09FD">
        <w:rPr>
          <w:rFonts w:hint="eastAsia"/>
          <w:snapToGrid w:val="0"/>
        </w:rPr>
        <w:t>s</w:t>
      </w:r>
      <w:r w:rsidRPr="009A09FD">
        <w:rPr>
          <w:snapToGrid w:val="0"/>
        </w:rPr>
        <w:t>, to furnish, or cause to be furnished, to such International Underwriter an electronic version of the Company’s trademarks, service marks and corporate logo for use on the website, if any, operated by such International Underwriter for the purpose of facilitating the on-line offering of the Offer Shares (the “</w:t>
      </w:r>
      <w:r w:rsidRPr="009A09FD">
        <w:rPr>
          <w:b/>
          <w:snapToGrid w:val="0"/>
        </w:rPr>
        <w:t>License</w:t>
      </w:r>
      <w:r w:rsidRPr="009A09FD">
        <w:rPr>
          <w:snapToGrid w:val="0"/>
        </w:rPr>
        <w:t xml:space="preserve">”); </w:t>
      </w:r>
      <w:r w:rsidRPr="009A09FD">
        <w:rPr>
          <w:b/>
          <w:snapToGrid w:val="0"/>
        </w:rPr>
        <w:t>provided, however, that</w:t>
      </w:r>
      <w:r w:rsidRPr="009A09FD">
        <w:rPr>
          <w:snapToGrid w:val="0"/>
        </w:rPr>
        <w:t xml:space="preserve"> the License shall be used solely for the purpose described above, is granted without any fee and may not be assigned or transferred and shall terminate upon completion of the distribution of the Offer Shares;</w:t>
      </w:r>
      <w:bookmarkEnd w:id="125"/>
      <w:r w:rsidRPr="009A09FD">
        <w:rPr>
          <w:rFonts w:hint="eastAsia"/>
          <w:snapToGrid w:val="0"/>
        </w:rPr>
        <w:t xml:space="preserve"> in addition, </w:t>
      </w:r>
      <w:r w:rsidRPr="009A09FD">
        <w:rPr>
          <w:snapToGrid w:val="0"/>
        </w:rPr>
        <w:t xml:space="preserve">each of the International Underwriters are permitted to use the License for the purposes of identifying the Company in a list of </w:t>
      </w:r>
      <w:r w:rsidRPr="009A09FD" w:rsidR="001D020B">
        <w:rPr>
          <w:snapToGrid w:val="0"/>
        </w:rPr>
        <w:t xml:space="preserve">current or </w:t>
      </w:r>
      <w:r w:rsidRPr="009A09FD">
        <w:rPr>
          <w:snapToGrid w:val="0"/>
        </w:rPr>
        <w:t>completed deals posted on the website of or contained in other materials prepared by such International Underwriter</w:t>
      </w:r>
      <w:r w:rsidRPr="009A09FD" w:rsidR="00341FF8">
        <w:rPr>
          <w:snapToGrid w:val="0"/>
        </w:rPr>
        <w:t>;</w:t>
      </w:r>
    </w:p>
    <w:p w:rsidR="001C5107" w:rsidRPr="009A09FD" w:rsidP="003C6CDA" w14:paraId="013EBE57" w14:textId="05C7C7E4">
      <w:pPr>
        <w:pStyle w:val="Heading3"/>
        <w:rPr>
          <w:snapToGrid w:val="0"/>
        </w:rPr>
      </w:pPr>
      <w:bookmarkStart w:id="126" w:name="_Ref367265621"/>
      <w:r w:rsidRPr="009A09FD">
        <w:rPr>
          <w:snapToGrid w:val="0"/>
        </w:rPr>
        <w:t xml:space="preserve">to have the Shares approved for listing on the Stock Exchange by the First Time of Delivery and to maintain such listing </w:t>
      </w:r>
      <w:r w:rsidRPr="009A09FD" w:rsidR="00EB1C74">
        <w:rPr>
          <w:snapToGrid w:val="0"/>
        </w:rPr>
        <w:t xml:space="preserve">and will refrain from taking any action that could jeopardize the listing </w:t>
      </w:r>
      <w:r w:rsidRPr="009A09FD">
        <w:rPr>
          <w:snapToGrid w:val="0"/>
        </w:rPr>
        <w:t>on the Stock Exchange</w:t>
      </w:r>
      <w:r w:rsidRPr="009A09FD" w:rsidR="0033475F">
        <w:rPr>
          <w:snapToGrid w:val="0"/>
        </w:rPr>
        <w:t xml:space="preserve"> for at least one year after the First Time of Delivery, except following a withdrawal of such listing which has been approved by the shareholders of the Company in accordance with the Listing Rules and the applicable Laws or following an offer (within the meaning of the Hong Kong Code on Takeovers and Mergers and Share Buy-backs) for the Company becoming unconditional; </w:t>
      </w:r>
      <w:bookmarkEnd w:id="126"/>
    </w:p>
    <w:p w:rsidR="001C5107" w:rsidRPr="009A09FD" w:rsidP="003C6CDA" w14:paraId="5F18CF5E" w14:textId="77777777">
      <w:pPr>
        <w:pStyle w:val="Heading3"/>
        <w:rPr>
          <w:snapToGrid w:val="0"/>
        </w:rPr>
      </w:pPr>
      <w:bookmarkStart w:id="127" w:name="_Ref367265622"/>
      <w:r w:rsidRPr="009A09FD">
        <w:rPr>
          <w:snapToGrid w:val="0"/>
        </w:rPr>
        <w:t>to do and perform all things required to be done and performed under this Agreement by it prior to or after each Time of Delivery and to satisfy all conditions precedent on its part to the delivery of the International Offer Shares as set forth herein;</w:t>
      </w:r>
      <w:bookmarkEnd w:id="127"/>
    </w:p>
    <w:p w:rsidR="001C5107" w:rsidRPr="009A09FD" w:rsidP="003C6CDA" w14:paraId="55D83917" w14:textId="5507EF4A">
      <w:pPr>
        <w:pStyle w:val="Heading3"/>
        <w:rPr>
          <w:snapToGrid w:val="0"/>
        </w:rPr>
      </w:pPr>
      <w:bookmarkStart w:id="128" w:name="_Ref367265623"/>
      <w:r w:rsidRPr="009A09FD">
        <w:rPr>
          <w:snapToGrid w:val="0"/>
        </w:rPr>
        <w:t xml:space="preserve">to indemnify and hold each of </w:t>
      </w:r>
      <w:r w:rsidRPr="009A09FD" w:rsidR="00357433">
        <w:rPr>
          <w:snapToGrid w:val="0"/>
        </w:rPr>
        <w:t xml:space="preserve">the Joint Sponsors, the Sponsor-OCs, </w:t>
      </w:r>
      <w:r w:rsidRPr="009A09FD">
        <w:rPr>
          <w:snapToGrid w:val="0"/>
        </w:rPr>
        <w:t xml:space="preserve">the </w:t>
      </w:r>
      <w:r w:rsidRPr="009A09FD" w:rsidR="00020A6E">
        <w:rPr>
          <w:snapToGrid w:val="0"/>
        </w:rPr>
        <w:t>Overall Coordinators</w:t>
      </w:r>
      <w:r w:rsidRPr="009A09FD">
        <w:rPr>
          <w:snapToGrid w:val="0"/>
        </w:rPr>
        <w:t>, the Joint Global Coordinators, the Joint Bookrunners, the Joint Lead Managers</w:t>
      </w:r>
      <w:r w:rsidRPr="009A09FD" w:rsidR="00E05584">
        <w:rPr>
          <w:snapToGrid w:val="0"/>
        </w:rPr>
        <w:t>, the CMIs</w:t>
      </w:r>
      <w:r w:rsidRPr="009A09FD">
        <w:rPr>
          <w:snapToGrid w:val="0"/>
        </w:rPr>
        <w:t xml:space="preserve"> and the International Underwriters and their respective Affiliates harmless against any documentary, stamp or similar issuance or transfer Taxes</w:t>
      </w:r>
      <w:r w:rsidRPr="009A09FD" w:rsidR="00EB1C74">
        <w:rPr>
          <w:snapToGrid w:val="0"/>
        </w:rPr>
        <w:t>, duties or fees</w:t>
      </w:r>
      <w:r w:rsidRPr="009A09FD">
        <w:rPr>
          <w:snapToGrid w:val="0"/>
        </w:rPr>
        <w:t xml:space="preserve"> and any transaction levies, commissions or brokerage charges, including, without limitation, any interest and penalties, payable in Hong Kong, </w:t>
      </w:r>
      <w:r w:rsidRPr="009A09FD" w:rsidR="00987A37">
        <w:rPr>
          <w:snapToGrid w:val="0"/>
        </w:rPr>
        <w:t>the PRC, [</w:t>
      </w:r>
      <w:r w:rsidRPr="009A09FD" w:rsidR="00987A37">
        <w:rPr>
          <w:i/>
          <w:iCs/>
          <w:snapToGrid w:val="0"/>
        </w:rPr>
        <w:t>insert relevant jurisdiction(s)</w:t>
      </w:r>
      <w:r w:rsidRPr="009A09FD" w:rsidR="00987A37">
        <w:rPr>
          <w:snapToGrid w:val="0"/>
        </w:rPr>
        <w:t>]</w:t>
      </w:r>
      <w:r w:rsidRPr="009A09FD">
        <w:rPr>
          <w:snapToGrid w:val="0"/>
        </w:rPr>
        <w:t xml:space="preserve">or any other </w:t>
      </w:r>
      <w:r w:rsidRPr="009A09FD" w:rsidR="00C6257E">
        <w:rPr>
          <w:snapToGrid w:val="0"/>
        </w:rPr>
        <w:t xml:space="preserve">relevant </w:t>
      </w:r>
      <w:r w:rsidRPr="009A09FD">
        <w:rPr>
          <w:snapToGrid w:val="0"/>
        </w:rPr>
        <w:t xml:space="preserve">jurisdiction which are or may be required to be paid in connection with the creation, allotment, issuance, offer and distribution of the Offer Shares as contemplated in each of the Disclosure Package and the </w:t>
      </w:r>
      <w:r w:rsidRPr="009A09FD" w:rsidR="005F428E">
        <w:rPr>
          <w:snapToGrid w:val="0"/>
        </w:rPr>
        <w:t>Offering Circular</w:t>
      </w:r>
      <w:r w:rsidRPr="009A09FD">
        <w:rPr>
          <w:snapToGrid w:val="0"/>
        </w:rPr>
        <w:t xml:space="preserve"> and the execution and delivery of this Agreement, and to indemnify and hold </w:t>
      </w:r>
      <w:r w:rsidRPr="009A09FD" w:rsidR="00A92A9C">
        <w:rPr>
          <w:snapToGrid w:val="0"/>
        </w:rPr>
        <w:t xml:space="preserve">the Joint Sponsors, the Sponsor-OCs, </w:t>
      </w:r>
      <w:r w:rsidRPr="009A09FD">
        <w:rPr>
          <w:snapToGrid w:val="0"/>
        </w:rPr>
        <w:t xml:space="preserve">the </w:t>
      </w:r>
      <w:r w:rsidRPr="009A09FD" w:rsidR="00020A6E">
        <w:rPr>
          <w:snapToGrid w:val="0"/>
        </w:rPr>
        <w:t>Overall Coordinators</w:t>
      </w:r>
      <w:r w:rsidRPr="009A09FD">
        <w:rPr>
          <w:snapToGrid w:val="0"/>
        </w:rPr>
        <w:t>, the Joint Global Coordinators, the Joint Bookrunners, the Joint Lead Managers</w:t>
      </w:r>
      <w:r w:rsidRPr="009A09FD" w:rsidR="00E05584">
        <w:rPr>
          <w:snapToGrid w:val="0"/>
        </w:rPr>
        <w:t>, the CMIs</w:t>
      </w:r>
      <w:r w:rsidRPr="009A09FD">
        <w:rPr>
          <w:snapToGrid w:val="0"/>
        </w:rPr>
        <w:t xml:space="preserve"> and the International Underwriters and their respective Affiliates harmless against the Trading Fee</w:t>
      </w:r>
      <w:r w:rsidRPr="009A09FD" w:rsidR="007F13A3">
        <w:rPr>
          <w:snapToGrid w:val="0"/>
        </w:rPr>
        <w:t>,</w:t>
      </w:r>
      <w:r w:rsidRPr="009A09FD">
        <w:rPr>
          <w:snapToGrid w:val="0"/>
        </w:rPr>
        <w:t xml:space="preserve"> </w:t>
      </w:r>
      <w:r w:rsidRPr="009A09FD" w:rsidR="007F13A3">
        <w:rPr>
          <w:snapToGrid w:val="0"/>
        </w:rPr>
        <w:t>the SFC Transaction Levy and the AFRC Transaction Levy</w:t>
      </w:r>
      <w:r w:rsidRPr="009A09FD">
        <w:rPr>
          <w:snapToGrid w:val="0"/>
        </w:rPr>
        <w:t>, if any, which may be required to be paid in connection with the offer and sale of the Offer Shares and</w:t>
      </w:r>
      <w:r w:rsidRPr="009A09FD" w:rsidR="000A43A4">
        <w:rPr>
          <w:snapToGrid w:val="0"/>
        </w:rPr>
        <w:t>/or</w:t>
      </w:r>
      <w:r w:rsidRPr="009A09FD">
        <w:rPr>
          <w:snapToGrid w:val="0"/>
        </w:rPr>
        <w:t xml:space="preserve"> the listing of the Shares on the Stock Exchange (except where such International Underwriters purchase Offer Shares for their investment accounts);</w:t>
      </w:r>
      <w:bookmarkEnd w:id="128"/>
    </w:p>
    <w:p w:rsidR="00AB10E2" w:rsidRPr="009A09FD" w:rsidP="00AB10E2" w14:paraId="79D10332" w14:textId="4FF0E57B">
      <w:pPr>
        <w:pStyle w:val="Heading3"/>
      </w:pPr>
      <w:r w:rsidRPr="009A09FD">
        <w:t>during the period from the date hereof to 180 days after the First Time of Delivery, to discuss with the Overall Coordinators: (A) any major new developments in its sphere of activity which are not public knowledge which may, by virtue of the effect of those developments on its assets and liabilities or financial position or on the general course of its business, lead to substantial movement in the price of its listed securities; and (B) any change in the Company’s financial condition or results of operations which, if made public, would likely lead to substantial movement in the price of its listed securities;</w:t>
      </w:r>
    </w:p>
    <w:p w:rsidR="001C5107" w:rsidRPr="009A09FD" w:rsidP="003C6CDA" w14:paraId="6EFBA079" w14:textId="401472FC">
      <w:pPr>
        <w:pStyle w:val="Heading3"/>
        <w:rPr>
          <w:snapToGrid w:val="0"/>
        </w:rPr>
      </w:pPr>
      <w:r w:rsidRPr="009A09FD">
        <w:rPr>
          <w:snapToGrid w:val="0"/>
        </w:rPr>
        <w:t xml:space="preserve">not to, and to </w:t>
      </w:r>
      <w:r w:rsidRPr="009A09FD" w:rsidR="001C76D4">
        <w:rPr>
          <w:snapToGrid w:val="0"/>
        </w:rPr>
        <w:t xml:space="preserve">procure </w:t>
      </w:r>
      <w:r w:rsidRPr="009A09FD">
        <w:rPr>
          <w:snapToGrid w:val="0"/>
        </w:rPr>
        <w:t>each member of the Group and/or the Warrantors, and/or any</w:t>
      </w:r>
      <w:r w:rsidRPr="009A09FD">
        <w:rPr>
          <w:rFonts w:hint="eastAsia"/>
          <w:snapToGrid w:val="0"/>
        </w:rPr>
        <w:t xml:space="preserve"> of their respective </w:t>
      </w:r>
      <w:r w:rsidRPr="009A09FD">
        <w:rPr>
          <w:snapToGrid w:val="0"/>
        </w:rPr>
        <w:t>substantial</w:t>
      </w:r>
      <w:r w:rsidRPr="009A09FD">
        <w:rPr>
          <w:rFonts w:hint="eastAsia"/>
          <w:snapToGrid w:val="0"/>
        </w:rPr>
        <w:t xml:space="preserve"> shareholders,</w:t>
      </w:r>
      <w:r w:rsidRPr="009A09FD">
        <w:rPr>
          <w:snapToGrid w:val="0"/>
        </w:rPr>
        <w:t xml:space="preserve"> directors, officers, promoters, supervisors, employees, Affiliates and/or agents of the Company and its subsidiaries not to (whether directly or indirectly, formally or informally, in writing or verbally), provide any material information, including forward-looking information (whether qualitative or quantitative) concerning the Company and/or its subsidiaries that is not, or is not reasonably expected to be, included in each of the Prospectus, the Disclosure Package and the </w:t>
      </w:r>
      <w:r w:rsidRPr="009A09FD" w:rsidR="005F428E">
        <w:rPr>
          <w:snapToGrid w:val="0"/>
        </w:rPr>
        <w:t>Offering Circular</w:t>
      </w:r>
      <w:r w:rsidRPr="009A09FD">
        <w:rPr>
          <w:snapToGrid w:val="0"/>
        </w:rPr>
        <w:t xml:space="preserve"> or publicly available, to any research analyst at any time up to and including the fortieth (40</w:t>
      </w:r>
      <w:r w:rsidRPr="009A09FD">
        <w:rPr>
          <w:snapToGrid w:val="0"/>
          <w:vertAlign w:val="superscript"/>
        </w:rPr>
        <w:t>th</w:t>
      </w:r>
      <w:r w:rsidRPr="009A09FD">
        <w:rPr>
          <w:snapToGrid w:val="0"/>
        </w:rPr>
        <w:t xml:space="preserve">) day immediately following the date </w:t>
      </w:r>
      <w:r w:rsidRPr="009A09FD" w:rsidR="0021241F">
        <w:rPr>
          <w:snapToGrid w:val="0"/>
        </w:rPr>
        <w:t>on which the Offer Price is determined in accordance with the terms of the Hong Kong Underwriting Agreement</w:t>
      </w:r>
      <w:r w:rsidRPr="009A09FD">
        <w:rPr>
          <w:snapToGrid w:val="0"/>
        </w:rPr>
        <w:t xml:space="preserve">; </w:t>
      </w:r>
    </w:p>
    <w:p w:rsidR="00963BD9" w:rsidRPr="009A09FD" w:rsidP="003C6CDA" w14:paraId="7F233D8F" w14:textId="6BACD34D">
      <w:pPr>
        <w:pStyle w:val="Heading3"/>
        <w:rPr>
          <w:snapToGrid w:val="0"/>
        </w:rPr>
      </w:pPr>
      <w:r w:rsidRPr="009A09FD">
        <w:rPr>
          <w:snapToGrid w:val="0"/>
        </w:rPr>
        <w:t xml:space="preserve">to ensure that any issues identified and as disclosed in any internal control report prepared by the Internal Control Consultant have been rectified or improved </w:t>
      </w:r>
      <w:r w:rsidRPr="009A09FD" w:rsidR="002B3745">
        <w:rPr>
          <w:snapToGrid w:val="0"/>
        </w:rPr>
        <w:t xml:space="preserve">in accordance with the recommendations set out in the report </w:t>
      </w:r>
      <w:r w:rsidRPr="009A09FD">
        <w:rPr>
          <w:snapToGrid w:val="0"/>
        </w:rPr>
        <w:t>to a sufficient standard or level for the operation and maintenance of efficient systems of internal accounting and financial reporting controls and disclosure and corporate governance controls and procedures that are effective to perform the functions for which they were established and to allow compliance by the Company and its board of directors with all applicable Laws and, without prejudice to the generality of the foregoing, to such standard or level recommended or suggested by the Internal Control Consultant in its internal controls report;</w:t>
      </w:r>
    </w:p>
    <w:p w:rsidR="0021241F" w:rsidRPr="009A09FD" w:rsidP="0021241F" w14:paraId="696CF99B" w14:textId="068A3B7D">
      <w:pPr>
        <w:pStyle w:val="Heading3"/>
        <w:rPr>
          <w:snapToGrid w:val="0"/>
        </w:rPr>
      </w:pPr>
      <w:r w:rsidRPr="009A09FD">
        <w:rPr>
          <w:snapToGrid w:val="0"/>
        </w:rPr>
        <w:t xml:space="preserve">not to, and to procure </w:t>
      </w:r>
      <w:r w:rsidRPr="009A09FD" w:rsidR="00D932CF">
        <w:rPr>
          <w:snapToGrid w:val="0"/>
        </w:rPr>
        <w:t>each</w:t>
      </w:r>
      <w:r w:rsidRPr="009A09FD">
        <w:rPr>
          <w:snapToGrid w:val="0"/>
        </w:rPr>
        <w:t xml:space="preserve"> member of the Group</w:t>
      </w:r>
      <w:r w:rsidRPr="009A09FD" w:rsidR="00D932CF">
        <w:rPr>
          <w:snapToGrid w:val="0"/>
        </w:rPr>
        <w:t xml:space="preserve"> and</w:t>
      </w:r>
      <w:r w:rsidRPr="009A09FD">
        <w:rPr>
          <w:snapToGrid w:val="0"/>
        </w:rPr>
        <w:t xml:space="preserve"> connected person (as defined in the Listing Rules) of the Company </w:t>
      </w:r>
      <w:r w:rsidRPr="009A09FD" w:rsidR="00D932CF">
        <w:rPr>
          <w:snapToGrid w:val="0"/>
        </w:rPr>
        <w:t xml:space="preserve">not to, </w:t>
      </w:r>
      <w:r w:rsidRPr="009A09FD">
        <w:rPr>
          <w:snapToGrid w:val="0"/>
        </w:rPr>
        <w:t>and to use its best endeavors to procure their respective associates not to</w:t>
      </w:r>
      <w:r w:rsidRPr="009A09FD" w:rsidR="00D932CF">
        <w:rPr>
          <w:snapToGrid w:val="0"/>
        </w:rPr>
        <w:t>,</w:t>
      </w:r>
      <w:r w:rsidRPr="009A09FD">
        <w:rPr>
          <w:snapToGrid w:val="0"/>
        </w:rPr>
        <w:t xml:space="preserve"> provide any financing (directly or indirectly) to any subscriber or purchaser of Offer Shares;</w:t>
      </w:r>
    </w:p>
    <w:p w:rsidR="00963BD9" w:rsidRPr="009A09FD" w:rsidP="003C6CDA" w14:paraId="7A28B2A2" w14:textId="6CDABB8F">
      <w:pPr>
        <w:pStyle w:val="Heading3"/>
        <w:rPr>
          <w:snapToGrid w:val="0"/>
        </w:rPr>
      </w:pPr>
      <w:r w:rsidRPr="009A09FD">
        <w:t>based on the placee list provided by the International Underwriters,</w:t>
      </w:r>
      <w:r w:rsidRPr="009A09FD">
        <w:rPr>
          <w:snapToGrid w:val="0"/>
        </w:rPr>
        <w:t xml:space="preserve"> to do all such things as are necessary to ensure that </w:t>
      </w:r>
      <w:r w:rsidRPr="009A09FD" w:rsidR="002E1B38">
        <w:rPr>
          <w:snapToGrid w:val="0"/>
        </w:rPr>
        <w:t>(</w:t>
      </w:r>
      <w:r w:rsidRPr="009A09FD" w:rsidR="00D932CF">
        <w:rPr>
          <w:snapToGrid w:val="0"/>
        </w:rPr>
        <w:t>i</w:t>
      </w:r>
      <w:r w:rsidRPr="009A09FD" w:rsidR="002E1B38">
        <w:rPr>
          <w:snapToGrid w:val="0"/>
        </w:rPr>
        <w:t>)</w:t>
      </w:r>
      <w:r w:rsidRPr="009A09FD" w:rsidR="00056B40">
        <w:rPr>
          <w:snapToGrid w:val="0"/>
        </w:rPr>
        <w:t xml:space="preserve"> </w:t>
      </w:r>
      <w:r w:rsidRPr="009A09FD" w:rsidR="00D932CF">
        <w:rPr>
          <w:snapToGrid w:val="0"/>
        </w:rPr>
        <w:t xml:space="preserve">there is </w:t>
      </w:r>
      <w:r w:rsidRPr="009A09FD" w:rsidR="001C4B78">
        <w:rPr>
          <w:snapToGrid w:val="0"/>
        </w:rPr>
        <w:t>no</w:t>
      </w:r>
      <w:r w:rsidRPr="009A09FD" w:rsidR="00722913">
        <w:rPr>
          <w:snapToGrid w:val="0"/>
        </w:rPr>
        <w:t xml:space="preserve"> placing of the Offer Shares</w:t>
      </w:r>
      <w:r w:rsidRPr="009A09FD" w:rsidR="002E1B38">
        <w:rPr>
          <w:snapToGrid w:val="0"/>
        </w:rPr>
        <w:t xml:space="preserve"> to </w:t>
      </w:r>
      <w:r w:rsidRPr="009A09FD" w:rsidR="009F46A8">
        <w:rPr>
          <w:snapToGrid w:val="0"/>
        </w:rPr>
        <w:t>connected persons</w:t>
      </w:r>
      <w:r w:rsidRPr="009A09FD" w:rsidR="00F352ED">
        <w:rPr>
          <w:snapToGrid w:val="0"/>
        </w:rPr>
        <w:t xml:space="preserve"> </w:t>
      </w:r>
      <w:r w:rsidRPr="009A09FD" w:rsidR="002E1B38">
        <w:rPr>
          <w:snapToGrid w:val="0"/>
        </w:rPr>
        <w:t xml:space="preserve">unless </w:t>
      </w:r>
      <w:r w:rsidRPr="009A09FD" w:rsidR="00722913">
        <w:rPr>
          <w:snapToGrid w:val="0"/>
        </w:rPr>
        <w:t>otherwise disclosed to the Stock Exchange and/or the relevant waiver has been obtained from the Stock Exchange</w:t>
      </w:r>
      <w:r w:rsidRPr="009A09FD">
        <w:rPr>
          <w:snapToGrid w:val="0"/>
        </w:rPr>
        <w:t>, (</w:t>
      </w:r>
      <w:r w:rsidRPr="009A09FD" w:rsidR="00D932CF">
        <w:rPr>
          <w:snapToGrid w:val="0"/>
        </w:rPr>
        <w:t>i</w:t>
      </w:r>
      <w:r w:rsidRPr="009A09FD" w:rsidR="000B7092">
        <w:rPr>
          <w:snapToGrid w:val="0"/>
        </w:rPr>
        <w:t>i</w:t>
      </w:r>
      <w:r w:rsidRPr="009A09FD">
        <w:rPr>
          <w:snapToGrid w:val="0"/>
        </w:rPr>
        <w:t xml:space="preserve">) </w:t>
      </w:r>
      <w:r w:rsidRPr="009A09FD" w:rsidR="002E1B38">
        <w:rPr>
          <w:snapToGrid w:val="0"/>
        </w:rPr>
        <w:t>the</w:t>
      </w:r>
      <w:r w:rsidRPr="009A09FD">
        <w:rPr>
          <w:snapToGrid w:val="0"/>
        </w:rPr>
        <w:t xml:space="preserve"> </w:t>
      </w:r>
      <w:r w:rsidRPr="009A09FD" w:rsidR="00914224">
        <w:rPr>
          <w:snapToGrid w:val="0"/>
        </w:rPr>
        <w:t>placee</w:t>
      </w:r>
      <w:r w:rsidRPr="009A09FD" w:rsidR="009F46A8">
        <w:rPr>
          <w:snapToGrid w:val="0"/>
        </w:rPr>
        <w:t>s</w:t>
      </w:r>
      <w:r w:rsidRPr="009A09FD">
        <w:rPr>
          <w:snapToGrid w:val="0"/>
        </w:rPr>
        <w:t xml:space="preserve"> and </w:t>
      </w:r>
      <w:r w:rsidRPr="009A09FD" w:rsidR="009F46A8">
        <w:rPr>
          <w:snapToGrid w:val="0"/>
        </w:rPr>
        <w:t>their</w:t>
      </w:r>
      <w:r w:rsidRPr="009A09FD">
        <w:rPr>
          <w:snapToGrid w:val="0"/>
        </w:rPr>
        <w:t xml:space="preserve"> beneficial owner(s) and/or associate(s) </w:t>
      </w:r>
      <w:r w:rsidRPr="009A09FD" w:rsidR="00A91E67">
        <w:rPr>
          <w:snapToGrid w:val="0"/>
        </w:rPr>
        <w:t>are</w:t>
      </w:r>
      <w:r w:rsidRPr="009A09FD">
        <w:rPr>
          <w:snapToGrid w:val="0"/>
        </w:rPr>
        <w:t xml:space="preserve"> </w:t>
      </w:r>
      <w:r w:rsidRPr="009A09FD" w:rsidR="00F0057F">
        <w:rPr>
          <w:snapToGrid w:val="0"/>
        </w:rPr>
        <w:t xml:space="preserve">third parties </w:t>
      </w:r>
      <w:r w:rsidRPr="009A09FD">
        <w:rPr>
          <w:snapToGrid w:val="0"/>
        </w:rPr>
        <w:t xml:space="preserve">independent of and not be acting in concert with (as defined in the Hong Kong Code on Takeovers and Mergers), </w:t>
      </w:r>
      <w:r w:rsidRPr="009A09FD" w:rsidR="00BD725C">
        <w:rPr>
          <w:snapToGrid w:val="0"/>
        </w:rPr>
        <w:t xml:space="preserve">the Company </w:t>
      </w:r>
      <w:r w:rsidRPr="009A09FD" w:rsidR="00D932CF">
        <w:rPr>
          <w:snapToGrid w:val="0"/>
        </w:rPr>
        <w:t xml:space="preserve">or </w:t>
      </w:r>
      <w:r w:rsidRPr="009A09FD">
        <w:rPr>
          <w:snapToGrid w:val="0"/>
        </w:rPr>
        <w:t>any connected persons in relation to the control of the Company; (</w:t>
      </w:r>
      <w:r w:rsidR="00850759">
        <w:rPr>
          <w:snapToGrid w:val="0"/>
        </w:rPr>
        <w:t>iii</w:t>
      </w:r>
      <w:r w:rsidRPr="009A09FD">
        <w:rPr>
          <w:snapToGrid w:val="0"/>
        </w:rPr>
        <w:t xml:space="preserve">) such </w:t>
      </w:r>
      <w:r w:rsidRPr="009A09FD" w:rsidR="00914224">
        <w:rPr>
          <w:snapToGrid w:val="0"/>
        </w:rPr>
        <w:t>placees</w:t>
      </w:r>
      <w:r w:rsidRPr="009A09FD" w:rsidR="00794439">
        <w:rPr>
          <w:snapToGrid w:val="0"/>
        </w:rPr>
        <w:t>,</w:t>
      </w:r>
      <w:r w:rsidRPr="009A09FD" w:rsidR="000123B7">
        <w:rPr>
          <w:snapToGrid w:val="0"/>
        </w:rPr>
        <w:t xml:space="preserve"> </w:t>
      </w:r>
      <w:r w:rsidRPr="009A09FD" w:rsidR="009F46A8">
        <w:rPr>
          <w:snapToGrid w:val="0"/>
        </w:rPr>
        <w:t>their</w:t>
      </w:r>
      <w:r w:rsidRPr="009A09FD">
        <w:rPr>
          <w:snapToGrid w:val="0"/>
        </w:rPr>
        <w:t xml:space="preserve"> </w:t>
      </w:r>
      <w:r w:rsidRPr="009A09FD" w:rsidR="009F46A8">
        <w:rPr>
          <w:snapToGrid w:val="0"/>
        </w:rPr>
        <w:t xml:space="preserve">respective ultimate </w:t>
      </w:r>
      <w:r w:rsidRPr="009A09FD">
        <w:rPr>
          <w:snapToGrid w:val="0"/>
        </w:rPr>
        <w:t xml:space="preserve">beneficial owner(s) and/or associate(s) are not, directly or indirectly, financed, funded or backed by </w:t>
      </w:r>
      <w:r w:rsidRPr="009A09FD" w:rsidR="00947EAD">
        <w:rPr>
          <w:snapToGrid w:val="0"/>
        </w:rPr>
        <w:t xml:space="preserve">and are not accustomed to </w:t>
      </w:r>
      <w:r w:rsidRPr="009A09FD" w:rsidR="00722913">
        <w:rPr>
          <w:snapToGrid w:val="0"/>
        </w:rPr>
        <w:t>taking</w:t>
      </w:r>
      <w:r w:rsidRPr="009A09FD" w:rsidR="00947EAD">
        <w:rPr>
          <w:snapToGrid w:val="0"/>
        </w:rPr>
        <w:t xml:space="preserve"> any instructions from the Company, any of the directors, chief executives, </w:t>
      </w:r>
      <w:r w:rsidR="00457775">
        <w:rPr>
          <w:snapToGrid w:val="0"/>
        </w:rPr>
        <w:t xml:space="preserve">supervisors, </w:t>
      </w:r>
      <w:r w:rsidRPr="009A09FD" w:rsidR="00947EAD">
        <w:rPr>
          <w:snapToGrid w:val="0"/>
        </w:rPr>
        <w:t>controlling shareholder(s), substantial shareholder(s) or existing shareholder(s) of the Company or any of the Company’s subsidiaries, or a close associate of any of them</w:t>
      </w:r>
      <w:r w:rsidRPr="009A09FD" w:rsidR="00F0057F">
        <w:rPr>
          <w:snapToGrid w:val="0"/>
        </w:rPr>
        <w:t>,</w:t>
      </w:r>
      <w:r w:rsidRPr="009A09FD" w:rsidR="00DC3D9F">
        <w:rPr>
          <w:snapToGrid w:val="0"/>
        </w:rPr>
        <w:t xml:space="preserve"> (</w:t>
      </w:r>
      <w:r w:rsidR="00850759">
        <w:rPr>
          <w:snapToGrid w:val="0"/>
        </w:rPr>
        <w:t>iv</w:t>
      </w:r>
      <w:r w:rsidRPr="009A09FD" w:rsidR="00DC3D9F">
        <w:rPr>
          <w:snapToGrid w:val="0"/>
        </w:rPr>
        <w:t>)</w:t>
      </w:r>
      <w:r w:rsidRPr="009A09FD" w:rsidR="00F0057F">
        <w:rPr>
          <w:snapToGrid w:val="0"/>
        </w:rPr>
        <w:t xml:space="preserve"> the orders for the securities originate from the placees procured by the underwriters and their respective ultimate beneficial owners</w:t>
      </w:r>
      <w:r w:rsidRPr="009A09FD">
        <w:rPr>
          <w:snapToGrid w:val="0"/>
        </w:rPr>
        <w:t>;</w:t>
      </w:r>
      <w:r w:rsidRPr="009A09FD" w:rsidR="00117681">
        <w:rPr>
          <w:snapToGrid w:val="0"/>
        </w:rPr>
        <w:t xml:space="preserve"> </w:t>
      </w:r>
      <w:r w:rsidRPr="009A09FD" w:rsidR="00716894">
        <w:rPr>
          <w:snapToGrid w:val="0"/>
        </w:rPr>
        <w:t>and</w:t>
      </w:r>
    </w:p>
    <w:p w:rsidR="007D574B" w:rsidRPr="009A09FD" w:rsidP="003C6CDA" w14:paraId="16DCE0DE" w14:textId="1D1510AE">
      <w:pPr>
        <w:pStyle w:val="Heading3"/>
      </w:pPr>
      <w:r w:rsidRPr="009A09FD">
        <w:t xml:space="preserve">to notify the Joint Sponsors, </w:t>
      </w:r>
      <w:r w:rsidRPr="009A09FD" w:rsidR="003265EB">
        <w:t xml:space="preserve">the Overall Coordinators and </w:t>
      </w:r>
      <w:r w:rsidRPr="009A09FD">
        <w:t>the Joint Global Coordinators (for themselves and on behalf of the International Underwriters) immediately if it becomes aware that any person who has applied for or indicated an interest for Offer Shares (or their respective beneficial owners) (a) falls within (i) any of the placee categories (other than "Not Applicable") as set out in the Stock Exchange's placee list template or required to be disclosed by the Stock Exchange's FINI (as defined in the Listing Rules) interface in relation to placees or under the Listing Rules or (ii) any of the groups of placees that would be required under Rule 12.08A of the Listing Rules to be identified in the Company's allotment results announcement; or (b) is financed directly or indirectly by, or accustomed to taking instructions from, the Company, any of the directors, chief executive</w:t>
      </w:r>
      <w:r w:rsidR="00457775">
        <w:t>s</w:t>
      </w:r>
      <w:r w:rsidRPr="009A09FD">
        <w:t xml:space="preserve">, </w:t>
      </w:r>
      <w:r w:rsidR="00457775">
        <w:rPr>
          <w:snapToGrid w:val="0"/>
        </w:rPr>
        <w:t xml:space="preserve">supervisors, </w:t>
      </w:r>
      <w:r w:rsidRPr="009A09FD">
        <w:t>controlling shareholder(s), substantial shareholder(s) or existing shareholder(s) of the Company or any of its subsidiaries or a close associate of any of them (as such terms are defined in the Listing Rules).</w:t>
      </w:r>
    </w:p>
    <w:p w:rsidR="001C5107" w:rsidRPr="009A09FD" w:rsidP="003C6CDA" w14:paraId="464847A1" w14:textId="496F77BD">
      <w:pPr>
        <w:pStyle w:val="BodyText2"/>
        <w:rPr>
          <w:snapToGrid w:val="0"/>
        </w:rPr>
      </w:pPr>
      <w:r w:rsidRPr="009A09FD">
        <w:rPr>
          <w:snapToGrid w:val="0"/>
        </w:rPr>
        <w:t>Subject to Section 9, t</w:t>
      </w:r>
      <w:r w:rsidRPr="009A09FD" w:rsidR="00152AB3">
        <w:rPr>
          <w:snapToGrid w:val="0"/>
        </w:rPr>
        <w:t>he undertakings in this Section 4 shall remain in full force and effect notwithstanding the completion of the Global Offering and the matters and arrangements referred to or contemplated in this Agreement.</w:t>
      </w:r>
    </w:p>
    <w:p w:rsidR="007C6195" w:rsidRPr="009A09FD" w:rsidP="003C6CDA" w14:paraId="2DAE6D55" w14:textId="545157C4">
      <w:pPr>
        <w:pStyle w:val="Heading1"/>
        <w:rPr>
          <w:rFonts w:cs="Arial"/>
          <w:snapToGrid w:val="0"/>
        </w:rPr>
      </w:pPr>
      <w:r w:rsidRPr="009A09FD">
        <w:rPr>
          <w:snapToGrid w:val="0"/>
        </w:rPr>
        <w:t>Advice to the Company</w:t>
      </w:r>
    </w:p>
    <w:p w:rsidR="007C6195" w:rsidRPr="009A09FD" w:rsidP="003C6CDA" w14:paraId="70F3354B" w14:textId="51B2365D">
      <w:pPr>
        <w:pStyle w:val="BodyText1"/>
        <w:rPr>
          <w:snapToGrid w:val="0"/>
        </w:rPr>
      </w:pPr>
      <w:r w:rsidRPr="009A09FD">
        <w:rPr>
          <w:snapToGrid w:val="0"/>
        </w:rPr>
        <w:t>The Company hereby confirms and acknowledges that each of the Overall Coordinators has:</w:t>
      </w:r>
    </w:p>
    <w:p w:rsidR="003C6CDA" w:rsidRPr="009A09FD" w:rsidP="003C6CDA" w14:paraId="46C1E667" w14:textId="77777777">
      <w:pPr>
        <w:pStyle w:val="Heading3"/>
      </w:pPr>
      <w:r w:rsidRPr="009A09FD">
        <w:t>engaged the Company at various stages during the offering process to understand the Company’s preferences and objectives with respect to pricing and the desired shareholder or investor base;</w:t>
      </w:r>
    </w:p>
    <w:p w:rsidR="003C6CDA" w:rsidRPr="009A09FD" w:rsidP="003C6CDA" w14:paraId="75AC373E" w14:textId="59515B48">
      <w:pPr>
        <w:pStyle w:val="Heading3"/>
      </w:pPr>
      <w:r w:rsidRPr="009A09FD">
        <w:t>explained the basis of its advice and recommendations to the Company including any advantages and disadvantages, including but not limited to communicat</w:t>
      </w:r>
      <w:r w:rsidRPr="009A09FD" w:rsidR="00A53016">
        <w:t>ing</w:t>
      </w:r>
      <w:r w:rsidRPr="009A09FD">
        <w:t xml:space="preserve"> its allocation policy to the Company, and that the Company confirms that it fully understands the factors underlying the allocation recommendations; </w:t>
      </w:r>
    </w:p>
    <w:p w:rsidR="003C6CDA" w:rsidRPr="009A09FD" w:rsidP="003C6CDA" w14:paraId="4FFF05B3" w14:textId="77777777">
      <w:pPr>
        <w:pStyle w:val="Heading3"/>
      </w:pPr>
      <w:r w:rsidRPr="009A09FD">
        <w:t>advised the Company in a timely manner, throughout the period of engagement, of key factors for consideration and how these could influence the pricing outcome, allocation and future shareholder or investor base;</w:t>
      </w:r>
    </w:p>
    <w:p w:rsidR="003C6CDA" w:rsidRPr="009A09FD" w:rsidP="003C6CDA" w14:paraId="2B341488" w14:textId="7D1C0C30">
      <w:pPr>
        <w:pStyle w:val="Heading3"/>
      </w:pPr>
      <w:r w:rsidRPr="009A09FD">
        <w:t xml:space="preserve">advised the Company on the information that should be provided to </w:t>
      </w:r>
      <w:r w:rsidRPr="009A09FD" w:rsidR="00D20843">
        <w:t xml:space="preserve">the </w:t>
      </w:r>
      <w:r w:rsidRPr="009A09FD">
        <w:t xml:space="preserve">CMIs to enable them to meet their obligations and responsibilities under the Code of Conduct, including information about the Company to facilitate a reasonable assessment of the Company required under the Code of Conduct; </w:t>
      </w:r>
    </w:p>
    <w:p w:rsidR="003C6CDA" w:rsidRPr="009A09FD" w:rsidP="003C6CDA" w14:paraId="2D4DBFAF" w14:textId="5191E1B4">
      <w:pPr>
        <w:pStyle w:val="Heading3"/>
      </w:pPr>
      <w:r w:rsidRPr="009A09FD">
        <w:t xml:space="preserve">provided guidance to the Company on the market’s practice on the ratio of fixed and discretionary fees to be paid to </w:t>
      </w:r>
      <w:r w:rsidRPr="009A09FD" w:rsidR="00D20843">
        <w:t xml:space="preserve">the </w:t>
      </w:r>
      <w:r w:rsidRPr="009A09FD">
        <w:t>CMIs;</w:t>
      </w:r>
    </w:p>
    <w:p w:rsidR="003C6CDA" w:rsidRPr="009A09FD" w:rsidP="003C6CDA" w14:paraId="3C62A6DF" w14:textId="77777777">
      <w:pPr>
        <w:pStyle w:val="Heading3"/>
      </w:pPr>
      <w:r w:rsidRPr="009A09FD">
        <w:t>advised and guided the Company and its directors as to their responsibilities under the rules, regulations and requirements of the Stock Exchange, the SFC and any other Authority which apply to placing activities including the Global Offering, and that the Company and its directors fully understand and undertake to the Joint Sponsors and the Underwriters that they have met or will meet these responsibilities; and</w:t>
      </w:r>
    </w:p>
    <w:p w:rsidR="003C6CDA" w:rsidRPr="009A09FD" w:rsidP="003C6CDA" w14:paraId="72193B3A" w14:textId="77777777">
      <w:pPr>
        <w:pStyle w:val="Heading3"/>
      </w:pPr>
      <w:r w:rsidRPr="009A09FD">
        <w:t>where the Company decided not to adopt an Overall Coordinator’s advice or recommendations in relation to pricing or allocation of shares, or its decisions may lead to a lack of open market, an inadequate spread of investors or may negatively affect the orderly and fair trading of such shares in the secondary market, explained the potential concerns and advised the Company against making these decisions.</w:t>
      </w:r>
    </w:p>
    <w:p w:rsidR="001C5107" w:rsidRPr="009A09FD" w:rsidP="003C6CDA" w14:paraId="5DF0C720" w14:textId="797A9346">
      <w:pPr>
        <w:pStyle w:val="Heading1"/>
        <w:rPr>
          <w:snapToGrid w:val="0"/>
        </w:rPr>
      </w:pPr>
      <w:bookmarkStart w:id="129" w:name="_Toc517409037"/>
      <w:bookmarkStart w:id="130" w:name="_Toc72862705"/>
      <w:bookmarkStart w:id="131" w:name="_Ref367265625"/>
      <w:r w:rsidRPr="009A09FD">
        <w:rPr>
          <w:snapToGrid w:val="0"/>
        </w:rPr>
        <w:t xml:space="preserve">Covenant </w:t>
      </w:r>
      <w:bookmarkStart w:id="132" w:name="_Ref308790818"/>
      <w:r w:rsidRPr="009A09FD" w:rsidR="00672EAF">
        <w:rPr>
          <w:snapToGrid w:val="0"/>
        </w:rPr>
        <w:t xml:space="preserve">OF THE COMPANY </w:t>
      </w:r>
      <w:r w:rsidRPr="009A09FD">
        <w:rPr>
          <w:snapToGrid w:val="0"/>
        </w:rPr>
        <w:t>to Pay Costs</w:t>
      </w:r>
      <w:bookmarkEnd w:id="129"/>
      <w:r>
        <w:rPr>
          <w:rStyle w:val="FootnoteReference"/>
          <w:snapToGrid w:val="0"/>
        </w:rPr>
        <w:footnoteReference w:id="19"/>
      </w:r>
      <w:r w:rsidRPr="009A09FD">
        <w:rPr>
          <w:rFonts w:hint="eastAsia"/>
          <w:snapToGrid w:val="0"/>
        </w:rPr>
        <w:t xml:space="preserve"> </w:t>
      </w:r>
      <w:bookmarkEnd w:id="130"/>
    </w:p>
    <w:p w:rsidR="00477FC7" w:rsidRPr="009A09FD" w:rsidP="003C6CDA" w14:paraId="6AFDF280" w14:textId="4C2DA0A7">
      <w:pPr>
        <w:pStyle w:val="BodyText1"/>
        <w:rPr>
          <w:snapToGrid w:val="0"/>
        </w:rPr>
      </w:pPr>
      <w:r w:rsidRPr="009A09FD">
        <w:rPr>
          <w:snapToGrid w:val="0"/>
        </w:rPr>
        <w:t xml:space="preserve">Subject to </w:t>
      </w:r>
      <w:r w:rsidRPr="009A09FD" w:rsidR="0062698E">
        <w:rPr>
          <w:snapToGrid w:val="0"/>
        </w:rPr>
        <w:t>other clause</w:t>
      </w:r>
      <w:r w:rsidR="00457775">
        <w:rPr>
          <w:snapToGrid w:val="0"/>
        </w:rPr>
        <w:t>s</w:t>
      </w:r>
      <w:r w:rsidRPr="009A09FD" w:rsidR="0062698E">
        <w:rPr>
          <w:snapToGrid w:val="0"/>
        </w:rPr>
        <w:t xml:space="preserve"> in this Section</w:t>
      </w:r>
      <w:r w:rsidRPr="009A09FD">
        <w:rPr>
          <w:snapToGrid w:val="0"/>
        </w:rPr>
        <w:t xml:space="preserve">, </w:t>
      </w:r>
      <w:bookmarkEnd w:id="132"/>
      <w:r w:rsidRPr="009A09FD" w:rsidR="003959B7">
        <w:rPr>
          <w:snapToGrid w:val="0"/>
        </w:rPr>
        <w:t>all fees, costs, charges, Taxation and other expenses of, in connection with or incidental to the Global Offering, the listing of the Shares on the Main Board of the Stock Exchange and this Agreement, and the transactions contemplated thereby or hereby including, without limitation</w:t>
      </w:r>
      <w:r w:rsidRPr="009A09FD">
        <w:rPr>
          <w:snapToGrid w:val="0"/>
        </w:rPr>
        <w:t xml:space="preserve">: </w:t>
      </w:r>
    </w:p>
    <w:p w:rsidR="00477FC7" w:rsidRPr="009A09FD" w:rsidP="003C6CDA" w14:paraId="3F6B2907" w14:textId="5C63D75D">
      <w:pPr>
        <w:pStyle w:val="Heading3"/>
        <w:rPr>
          <w:snapToGrid w:val="0"/>
        </w:rPr>
      </w:pPr>
      <w:r w:rsidRPr="009A09FD">
        <w:rPr>
          <w:szCs w:val="22"/>
        </w:rPr>
        <w:t>fees</w:t>
      </w:r>
      <w:r w:rsidRPr="009A09FD" w:rsidR="000A240E">
        <w:rPr>
          <w:szCs w:val="22"/>
        </w:rPr>
        <w:t>, disbursements</w:t>
      </w:r>
      <w:r w:rsidRPr="009A09FD">
        <w:rPr>
          <w:szCs w:val="22"/>
        </w:rPr>
        <w:t xml:space="preserve"> and expenses of the Reporting Accountant</w:t>
      </w:r>
      <w:r w:rsidRPr="009A09FD">
        <w:rPr>
          <w:rFonts w:hint="eastAsia"/>
          <w:szCs w:val="22"/>
          <w:lang w:eastAsia="zh-CN"/>
        </w:rPr>
        <w:t>s</w:t>
      </w:r>
      <w:r w:rsidRPr="009A09FD">
        <w:rPr>
          <w:snapToGrid w:val="0"/>
        </w:rPr>
        <w:t>;</w:t>
      </w:r>
    </w:p>
    <w:p w:rsidR="00477FC7" w:rsidRPr="009A09FD" w:rsidP="003C6CDA" w14:paraId="4536B33B" w14:textId="532632D0">
      <w:pPr>
        <w:pStyle w:val="Heading3"/>
        <w:rPr>
          <w:snapToGrid w:val="0"/>
        </w:rPr>
      </w:pPr>
      <w:r w:rsidRPr="009A09FD">
        <w:rPr>
          <w:szCs w:val="22"/>
        </w:rPr>
        <w:t>fees</w:t>
      </w:r>
      <w:r w:rsidRPr="009A09FD" w:rsidR="000A240E">
        <w:rPr>
          <w:szCs w:val="22"/>
        </w:rPr>
        <w:t>, disbursements</w:t>
      </w:r>
      <w:r w:rsidRPr="009A09FD">
        <w:rPr>
          <w:szCs w:val="22"/>
        </w:rPr>
        <w:t xml:space="preserve"> and </w:t>
      </w:r>
      <w:r w:rsidRPr="009A09FD" w:rsidR="000A240E">
        <w:rPr>
          <w:szCs w:val="22"/>
        </w:rPr>
        <w:t>expenses</w:t>
      </w:r>
      <w:r w:rsidRPr="009A09FD">
        <w:rPr>
          <w:szCs w:val="22"/>
        </w:rPr>
        <w:t xml:space="preserve"> of any transfer agent or registrar for the Shares, any service provider appointed by the Company in connection with HK eIPO White Form Service, and the process agent referred to in Clause 15 hereof</w:t>
      </w:r>
      <w:r w:rsidRPr="009A09FD">
        <w:rPr>
          <w:snapToGrid w:val="0"/>
        </w:rPr>
        <w:t xml:space="preserve">; </w:t>
      </w:r>
    </w:p>
    <w:p w:rsidR="00477FC7" w:rsidRPr="009A09FD" w:rsidP="003C6CDA" w14:paraId="6E02A1E5" w14:textId="7B784979">
      <w:pPr>
        <w:pStyle w:val="Heading3"/>
        <w:rPr>
          <w:snapToGrid w:val="0"/>
        </w:rPr>
      </w:pPr>
      <w:r w:rsidRPr="009A09FD">
        <w:rPr>
          <w:szCs w:val="22"/>
        </w:rPr>
        <w:t>fees</w:t>
      </w:r>
      <w:r w:rsidRPr="009A09FD" w:rsidR="000A240E">
        <w:rPr>
          <w:szCs w:val="22"/>
        </w:rPr>
        <w:t>, disbursements</w:t>
      </w:r>
      <w:r w:rsidRPr="009A09FD">
        <w:rPr>
          <w:szCs w:val="22"/>
        </w:rPr>
        <w:t xml:space="preserve"> and expenses of all Legal Advisers and any other legal advis</w:t>
      </w:r>
      <w:r w:rsidRPr="009A09FD">
        <w:rPr>
          <w:rFonts w:hint="eastAsia"/>
          <w:szCs w:val="22"/>
          <w:lang w:eastAsia="zh-CN"/>
        </w:rPr>
        <w:t>e</w:t>
      </w:r>
      <w:r w:rsidRPr="009A09FD">
        <w:rPr>
          <w:szCs w:val="22"/>
        </w:rPr>
        <w:t>rs to the Company</w:t>
      </w:r>
      <w:r w:rsidRPr="009A09FD">
        <w:rPr>
          <w:rFonts w:hint="eastAsia"/>
          <w:szCs w:val="22"/>
          <w:lang w:eastAsia="zh-CN"/>
        </w:rPr>
        <w:t xml:space="preserve"> </w:t>
      </w:r>
      <w:r w:rsidRPr="009A09FD">
        <w:rPr>
          <w:szCs w:val="22"/>
          <w:lang w:eastAsia="zh-CN"/>
        </w:rPr>
        <w:t>or</w:t>
      </w:r>
      <w:r w:rsidRPr="009A09FD">
        <w:rPr>
          <w:rFonts w:hint="eastAsia"/>
          <w:szCs w:val="22"/>
          <w:lang w:eastAsia="zh-CN"/>
        </w:rPr>
        <w:t xml:space="preserve"> the Underwriters</w:t>
      </w:r>
      <w:r w:rsidRPr="009A09FD">
        <w:rPr>
          <w:snapToGrid w:val="0"/>
        </w:rPr>
        <w:t>;</w:t>
      </w:r>
    </w:p>
    <w:p w:rsidR="003959B7" w:rsidRPr="009A09FD" w:rsidP="003959B7" w14:paraId="1BC2A114" w14:textId="50A7A715">
      <w:pPr>
        <w:pStyle w:val="Heading3"/>
        <w:rPr>
          <w:szCs w:val="22"/>
        </w:rPr>
      </w:pPr>
      <w:r w:rsidRPr="009A09FD">
        <w:rPr>
          <w:szCs w:val="22"/>
        </w:rPr>
        <w:t>fees</w:t>
      </w:r>
      <w:r w:rsidRPr="009A09FD" w:rsidR="000A240E">
        <w:rPr>
          <w:szCs w:val="22"/>
        </w:rPr>
        <w:t>, disbursements</w:t>
      </w:r>
      <w:r w:rsidRPr="009A09FD">
        <w:rPr>
          <w:szCs w:val="22"/>
        </w:rPr>
        <w:t xml:space="preserve"> and expenses of any public relations consultants engaged by the Company;</w:t>
      </w:r>
    </w:p>
    <w:p w:rsidR="003959B7" w:rsidRPr="009A09FD" w:rsidP="003959B7" w14:paraId="14AA2AE0" w14:textId="4AC1C1D8">
      <w:pPr>
        <w:pStyle w:val="Heading3"/>
        <w:rPr>
          <w:szCs w:val="22"/>
        </w:rPr>
      </w:pPr>
      <w:r w:rsidRPr="009A09FD">
        <w:rPr>
          <w:szCs w:val="22"/>
        </w:rPr>
        <w:t>fees</w:t>
      </w:r>
      <w:r w:rsidRPr="009A09FD" w:rsidR="000A240E">
        <w:rPr>
          <w:szCs w:val="22"/>
        </w:rPr>
        <w:t>, disbursements</w:t>
      </w:r>
      <w:r w:rsidRPr="009A09FD">
        <w:rPr>
          <w:szCs w:val="22"/>
        </w:rPr>
        <w:t xml:space="preserve"> and expenses of the Internal Control Consultant and the Industry Consultant;</w:t>
      </w:r>
    </w:p>
    <w:p w:rsidR="003959B7" w:rsidRPr="009A09FD" w:rsidP="003959B7" w14:paraId="5F3B861A" w14:textId="063666EB">
      <w:pPr>
        <w:pStyle w:val="Heading3"/>
        <w:rPr>
          <w:szCs w:val="22"/>
        </w:rPr>
      </w:pPr>
      <w:r w:rsidRPr="009A09FD">
        <w:rPr>
          <w:szCs w:val="22"/>
        </w:rPr>
        <w:t>fees</w:t>
      </w:r>
      <w:r w:rsidRPr="009A09FD" w:rsidR="000A240E">
        <w:rPr>
          <w:szCs w:val="22"/>
        </w:rPr>
        <w:t>, disbursements</w:t>
      </w:r>
      <w:r w:rsidRPr="009A09FD">
        <w:rPr>
          <w:szCs w:val="22"/>
        </w:rPr>
        <w:t xml:space="preserve"> and expenses of any translators engaged by the Company;</w:t>
      </w:r>
    </w:p>
    <w:p w:rsidR="003959B7" w:rsidRPr="009A09FD" w:rsidP="003959B7" w14:paraId="09946C2A" w14:textId="70170AFA">
      <w:pPr>
        <w:pStyle w:val="Heading3"/>
        <w:rPr>
          <w:szCs w:val="22"/>
        </w:rPr>
      </w:pPr>
      <w:r w:rsidRPr="009A09FD">
        <w:rPr>
          <w:szCs w:val="22"/>
        </w:rPr>
        <w:t>fees</w:t>
      </w:r>
      <w:r w:rsidRPr="009A09FD" w:rsidR="000A240E">
        <w:rPr>
          <w:szCs w:val="22"/>
        </w:rPr>
        <w:t>, disbursements</w:t>
      </w:r>
      <w:r w:rsidRPr="009A09FD">
        <w:rPr>
          <w:szCs w:val="22"/>
        </w:rPr>
        <w:t xml:space="preserve"> and expenses of the Receiving Bank and the Nominee;</w:t>
      </w:r>
    </w:p>
    <w:p w:rsidR="003959B7" w:rsidRPr="009A09FD" w:rsidP="003959B7" w14:paraId="1E063D22" w14:textId="3F0D0F35">
      <w:pPr>
        <w:pStyle w:val="Heading3"/>
        <w:rPr>
          <w:szCs w:val="22"/>
        </w:rPr>
      </w:pPr>
      <w:r w:rsidRPr="009A09FD">
        <w:rPr>
          <w:szCs w:val="22"/>
        </w:rPr>
        <w:t>fees</w:t>
      </w:r>
      <w:r w:rsidRPr="009A09FD" w:rsidR="000A240E">
        <w:rPr>
          <w:szCs w:val="22"/>
        </w:rPr>
        <w:t>, disbursements</w:t>
      </w:r>
      <w:r w:rsidRPr="009A09FD">
        <w:rPr>
          <w:szCs w:val="22"/>
        </w:rPr>
        <w:t xml:space="preserve"> and expenses of the financial printer engaged by the Company;</w:t>
      </w:r>
    </w:p>
    <w:p w:rsidR="003959B7" w:rsidRPr="009A09FD" w:rsidP="003959B7" w14:paraId="70640BD4" w14:textId="77777777">
      <w:pPr>
        <w:pStyle w:val="Heading3"/>
        <w:rPr>
          <w:szCs w:val="22"/>
        </w:rPr>
      </w:pPr>
      <w:r w:rsidRPr="009A09FD">
        <w:rPr>
          <w:szCs w:val="22"/>
        </w:rPr>
        <w:t>fees and expenses of other agents, third party service providers, consultants and advisers engaged by the Company or the CMIs and the Underwriters relating to the Global Offering;</w:t>
      </w:r>
    </w:p>
    <w:p w:rsidR="003959B7" w:rsidRPr="009A09FD" w:rsidP="003959B7" w14:paraId="4926B2FC" w14:textId="2EDDA764">
      <w:pPr>
        <w:pStyle w:val="Heading3"/>
        <w:rPr>
          <w:szCs w:val="22"/>
        </w:rPr>
      </w:pPr>
      <w:r w:rsidRPr="009A09FD">
        <w:rPr>
          <w:szCs w:val="22"/>
        </w:rPr>
        <w:t>fees and expenses related to the application for listing of and permission to deal in the Shares on the Stock Exchange, the filing or registration of any documents (including, without limitation, the Hong Kong Public Offering Documents, the CSRC Filings and any amendments and supplements thereto) with any relevant Authority (including, without limitation, the Registrar of Companies in Hong Kong and the CSRC) and the qualification of the Offer Shares in any jurisdiction;</w:t>
      </w:r>
    </w:p>
    <w:p w:rsidR="003959B7" w:rsidRPr="009A09FD" w:rsidP="003959B7" w14:paraId="6CAD47D5" w14:textId="00B66B5A">
      <w:pPr>
        <w:pStyle w:val="Heading3"/>
        <w:rPr>
          <w:szCs w:val="22"/>
        </w:rPr>
      </w:pPr>
      <w:r w:rsidRPr="009A09FD">
        <w:rPr>
          <w:szCs w:val="22"/>
        </w:rPr>
        <w:t>all costs and expenses for roadshow (including pre-deal or non-deal roadshow), pre-marketing or investor education activities, and presentations or meetings undertaken in connection with the marketing of the offering and sale of the Offer Shares to prospective investors, including without limitation, expenses associated with the production of roadshow slides and graphics, and all fees</w:t>
      </w:r>
      <w:r w:rsidRPr="009A09FD" w:rsidR="000A240E">
        <w:rPr>
          <w:szCs w:val="22"/>
        </w:rPr>
        <w:t>, disbursements</w:t>
      </w:r>
      <w:r w:rsidRPr="009A09FD">
        <w:rPr>
          <w:szCs w:val="22"/>
        </w:rPr>
        <w:t xml:space="preserve"> and expenses of any consultants engaged in connection with the roadshow presentations, travel, lodging and other fees and expenses incurred by the Company, </w:t>
      </w:r>
      <w:r w:rsidRPr="009A09FD" w:rsidR="00CB364F">
        <w:rPr>
          <w:szCs w:val="22"/>
        </w:rPr>
        <w:t xml:space="preserve">the Joint Sponsors, </w:t>
      </w:r>
      <w:r w:rsidRPr="009A09FD">
        <w:rPr>
          <w:szCs w:val="22"/>
        </w:rPr>
        <w:t>the Overall Coordinators, the Joint Global Coordinators, the CMIs and the Underwriters and any such consultants and their respective representatives;</w:t>
      </w:r>
    </w:p>
    <w:p w:rsidR="003959B7" w:rsidRPr="009A09FD" w:rsidP="003959B7" w14:paraId="4EA9B1DC" w14:textId="77777777">
      <w:pPr>
        <w:pStyle w:val="Heading3"/>
        <w:rPr>
          <w:szCs w:val="22"/>
        </w:rPr>
      </w:pPr>
      <w:r w:rsidRPr="009A09FD">
        <w:rPr>
          <w:szCs w:val="22"/>
        </w:rPr>
        <w:t xml:space="preserve">all printing, document production, courier and advertising costs in relation to the Global Offering; </w:t>
      </w:r>
    </w:p>
    <w:p w:rsidR="003959B7" w:rsidRPr="009A09FD" w:rsidP="003959B7" w14:paraId="5F192BF2" w14:textId="4B87A601">
      <w:pPr>
        <w:pStyle w:val="Heading3"/>
        <w:rPr>
          <w:szCs w:val="22"/>
        </w:rPr>
      </w:pPr>
      <w:r w:rsidRPr="009A09FD">
        <w:rPr>
          <w:szCs w:val="22"/>
        </w:rPr>
        <w:t>all costs of preparation, despatch and distribution of the Offering Documents in all Relevant Jurisdictions, and all amendments and supplements thereto;</w:t>
      </w:r>
    </w:p>
    <w:p w:rsidR="003959B7" w:rsidRPr="009A09FD" w:rsidP="003959B7" w14:paraId="63B7D9C0" w14:textId="12F60B13">
      <w:pPr>
        <w:pStyle w:val="Heading3"/>
        <w:rPr>
          <w:szCs w:val="22"/>
        </w:rPr>
      </w:pPr>
      <w:r w:rsidRPr="009A09FD">
        <w:rPr>
          <w:szCs w:val="22"/>
        </w:rPr>
        <w:t xml:space="preserve">all costs of preparation, printing or production of this Agreement, the </w:t>
      </w:r>
      <w:r w:rsidRPr="009A09FD" w:rsidR="00672EAF">
        <w:rPr>
          <w:szCs w:val="22"/>
        </w:rPr>
        <w:t xml:space="preserve">Hong Kong </w:t>
      </w:r>
      <w:r w:rsidRPr="009A09FD">
        <w:rPr>
          <w:szCs w:val="22"/>
        </w:rPr>
        <w:t>Underwriting Agreement, the agreement among Hong Kong Underwriters, the agreement among International Underwriters, the agreement among syndicates, closing documents (including compilations thereof) and any other documents in connection with the offering, purchase, sale and delivery of the Offer Shares;</w:t>
      </w:r>
    </w:p>
    <w:p w:rsidR="003959B7" w:rsidRPr="009A09FD" w:rsidP="003959B7" w14:paraId="1F2977BD" w14:textId="77777777">
      <w:pPr>
        <w:pStyle w:val="Heading3"/>
        <w:rPr>
          <w:szCs w:val="22"/>
        </w:rPr>
      </w:pPr>
      <w:r w:rsidRPr="009A09FD">
        <w:rPr>
          <w:szCs w:val="22"/>
        </w:rPr>
        <w:t>all costs and expenses for printing and distribution of research reports, and conducting the syndicate analysts' briefing and other presentations relating to the Global Offering;</w:t>
      </w:r>
    </w:p>
    <w:p w:rsidR="003959B7" w:rsidRPr="009A09FD" w:rsidP="003959B7" w14:paraId="14E35119" w14:textId="77777777">
      <w:pPr>
        <w:pStyle w:val="Heading3"/>
        <w:rPr>
          <w:szCs w:val="22"/>
        </w:rPr>
      </w:pPr>
      <w:r w:rsidRPr="009A09FD">
        <w:rPr>
          <w:szCs w:val="22"/>
        </w:rPr>
        <w:t>all costs of preparation, despatch and distribution (including transportation, packaging and insurance) of share certificates, letters of regret and refund cheques;</w:t>
      </w:r>
    </w:p>
    <w:p w:rsidR="003959B7" w:rsidRPr="009A09FD" w:rsidP="003959B7" w14:paraId="6FAAF1D6" w14:textId="7078E0A5">
      <w:pPr>
        <w:pStyle w:val="Heading3"/>
        <w:rPr>
          <w:szCs w:val="22"/>
        </w:rPr>
      </w:pPr>
      <w:r w:rsidRPr="009A09FD">
        <w:rPr>
          <w:szCs w:val="22"/>
        </w:rPr>
        <w:t xml:space="preserve">the Trading Fee, the SFC Transaction Levy and the AFRC Transaction </w:t>
      </w:r>
      <w:r w:rsidRPr="009A09FD" w:rsidR="000A240E">
        <w:rPr>
          <w:szCs w:val="22"/>
        </w:rPr>
        <w:t xml:space="preserve">Levy </w:t>
      </w:r>
      <w:r w:rsidRPr="009A09FD">
        <w:rPr>
          <w:szCs w:val="22"/>
        </w:rPr>
        <w:t xml:space="preserve">payable by the Company, all capital duty (if any), premium duty (if any), </w:t>
      </w:r>
      <w:r w:rsidRPr="009A09FD" w:rsidR="000A240E">
        <w:rPr>
          <w:szCs w:val="22"/>
        </w:rPr>
        <w:t xml:space="preserve">stamp duty (if any), </w:t>
      </w:r>
      <w:r w:rsidRPr="009A09FD">
        <w:rPr>
          <w:szCs w:val="22"/>
        </w:rPr>
        <w:t xml:space="preserve">Taxation, levy and other fees, </w:t>
      </w:r>
      <w:r w:rsidRPr="009A09FD" w:rsidR="00672EAF">
        <w:rPr>
          <w:szCs w:val="22"/>
        </w:rPr>
        <w:t xml:space="preserve">charges, </w:t>
      </w:r>
      <w:r w:rsidRPr="009A09FD">
        <w:rPr>
          <w:szCs w:val="22"/>
        </w:rPr>
        <w:t xml:space="preserve">costs and expenses payable in respect of the creation, issue, </w:t>
      </w:r>
      <w:r w:rsidRPr="009A09FD" w:rsidR="000A240E">
        <w:rPr>
          <w:szCs w:val="22"/>
        </w:rPr>
        <w:t xml:space="preserve">allotment, </w:t>
      </w:r>
      <w:r w:rsidRPr="009A09FD">
        <w:rPr>
          <w:szCs w:val="22"/>
        </w:rPr>
        <w:t>sale, distribution and delivery of the Offer Shares, the execution and delivery of and the performance of any provisions of this Agreement or otherwise in connection with the Global Offering;</w:t>
      </w:r>
    </w:p>
    <w:p w:rsidR="003959B7" w:rsidRPr="009A09FD" w:rsidP="003959B7" w14:paraId="0C0CA312" w14:textId="77777777">
      <w:pPr>
        <w:pStyle w:val="Heading3"/>
        <w:rPr>
          <w:szCs w:val="22"/>
        </w:rPr>
      </w:pPr>
      <w:r w:rsidRPr="009A09FD">
        <w:rPr>
          <w:szCs w:val="22"/>
        </w:rPr>
        <w:t>all costs and expenses related to the preparation and launching of the Global Offering;</w:t>
      </w:r>
    </w:p>
    <w:p w:rsidR="003959B7" w:rsidRPr="009A09FD" w:rsidP="003959B7" w14:paraId="5BD8949F" w14:textId="77777777">
      <w:pPr>
        <w:pStyle w:val="Heading3"/>
        <w:rPr>
          <w:szCs w:val="22"/>
        </w:rPr>
      </w:pPr>
      <w:r w:rsidRPr="009A09FD">
        <w:rPr>
          <w:szCs w:val="22"/>
        </w:rPr>
        <w:t>all costs and expenses related to the press conferences of the Company in relation to the Global Offering;</w:t>
      </w:r>
    </w:p>
    <w:p w:rsidR="003959B7" w:rsidRPr="009A09FD" w:rsidP="003959B7" w14:paraId="1ECA829D" w14:textId="77777777">
      <w:pPr>
        <w:pStyle w:val="Heading3"/>
        <w:rPr>
          <w:szCs w:val="22"/>
        </w:rPr>
      </w:pPr>
      <w:r w:rsidRPr="009A09FD">
        <w:rPr>
          <w:szCs w:val="22"/>
        </w:rPr>
        <w:t xml:space="preserve">all stock admission fees, processing charges and related expenses payable to HKSCC; </w:t>
      </w:r>
    </w:p>
    <w:p w:rsidR="003959B7" w:rsidRPr="009A09FD" w:rsidP="003959B7" w14:paraId="5A017542" w14:textId="77777777">
      <w:pPr>
        <w:pStyle w:val="Heading3"/>
        <w:rPr>
          <w:szCs w:val="22"/>
        </w:rPr>
      </w:pPr>
      <w:r w:rsidRPr="009A09FD">
        <w:rPr>
          <w:szCs w:val="22"/>
        </w:rPr>
        <w:t xml:space="preserve">all CCASS transaction fees payable in connection with the Global Offering; </w:t>
      </w:r>
    </w:p>
    <w:p w:rsidR="003959B7" w:rsidRPr="009A09FD" w:rsidP="003959B7" w14:paraId="04FC55F9" w14:textId="77777777">
      <w:pPr>
        <w:pStyle w:val="Heading3"/>
        <w:rPr>
          <w:szCs w:val="22"/>
        </w:rPr>
      </w:pPr>
      <w:r w:rsidRPr="009A09FD">
        <w:rPr>
          <w:szCs w:val="22"/>
        </w:rPr>
        <w:t xml:space="preserve">all fees and expenses related to background check and searches, company searches, litigation and legal proceeding searches, bankruptcy and insolvency searches, company searches and directorship searches and other searches conducted in connection with the Global Offering; and </w:t>
      </w:r>
    </w:p>
    <w:p w:rsidR="003959B7" w:rsidRPr="009A09FD" w:rsidP="003959B7" w14:paraId="5F7AE1A2" w14:textId="036B6C3C">
      <w:pPr>
        <w:pStyle w:val="Heading3"/>
        <w:rPr>
          <w:szCs w:val="22"/>
        </w:rPr>
      </w:pPr>
      <w:r w:rsidRPr="009A09FD">
        <w:rPr>
          <w:szCs w:val="22"/>
        </w:rPr>
        <w:t>all costs, fees and out-of-pocket expenses incurred by the Joint Sponsors, the Sponsor-OCs, the Overall Coordinators, the Joint Global Coordinators, the Joint Bookrunners, the Joint Lead Managers</w:t>
      </w:r>
      <w:r w:rsidRPr="009A09FD" w:rsidR="00373DD4">
        <w:rPr>
          <w:snapToGrid w:val="0"/>
        </w:rPr>
        <w:t>, the CMIs</w:t>
      </w:r>
      <w:r w:rsidRPr="009A09FD">
        <w:rPr>
          <w:szCs w:val="22"/>
        </w:rPr>
        <w:t xml:space="preserve"> and the Underwriters or any of them or on their or its behalf under this Agreement or the </w:t>
      </w:r>
      <w:r w:rsidRPr="009A09FD" w:rsidR="00BA7B6A">
        <w:rPr>
          <w:szCs w:val="22"/>
        </w:rPr>
        <w:t>Hong Kong</w:t>
      </w:r>
      <w:r w:rsidRPr="009A09FD">
        <w:rPr>
          <w:szCs w:val="22"/>
        </w:rPr>
        <w:t xml:space="preserve"> Agreement in connection with the Global Offering, or incidental to the performance of the obligations of the Company pursuant to this Agreement which are not otherwise specifically provided for in this Section or pursuant to any other agreements between the Company and any of the Joint Sponsors,  the Sponsor-OCs, the Overall Coordinators, the Joint Global Coordinators,  the Joint Bookrunners, the Joint Lead Managers</w:t>
      </w:r>
      <w:r w:rsidRPr="009A09FD" w:rsidR="00373DD4">
        <w:rPr>
          <w:snapToGrid w:val="0"/>
        </w:rPr>
        <w:t>, the CMIs</w:t>
      </w:r>
      <w:r w:rsidRPr="009A09FD">
        <w:rPr>
          <w:szCs w:val="22"/>
        </w:rPr>
        <w:t xml:space="preserve"> and the Underwriters,</w:t>
      </w:r>
    </w:p>
    <w:p w:rsidR="00477FC7" w:rsidRPr="009A09FD" w:rsidP="003959B7" w14:paraId="3FCD55F7" w14:textId="3AABDB1D">
      <w:pPr>
        <w:pStyle w:val="BodyText1"/>
        <w:rPr>
          <w:snapToGrid w:val="0"/>
        </w:rPr>
      </w:pPr>
      <w:r w:rsidRPr="009A09FD">
        <w:rPr>
          <w:rFonts w:cs="Times New Roman"/>
          <w:snapToGrid w:val="0"/>
          <w:color w:val="000000"/>
        </w:rPr>
        <w:t xml:space="preserve">shall be borne by the Company, and the Company shall, and the </w:t>
      </w:r>
      <w:r w:rsidRPr="009A09FD" w:rsidR="00684871">
        <w:rPr>
          <w:rFonts w:cs="Times New Roman"/>
          <w:snapToGrid w:val="0"/>
          <w:color w:val="000000"/>
        </w:rPr>
        <w:t>Warranting Shareholders</w:t>
      </w:r>
      <w:r w:rsidRPr="009A09FD">
        <w:rPr>
          <w:rFonts w:cs="Times New Roman"/>
          <w:snapToGrid w:val="0"/>
          <w:color w:val="000000"/>
        </w:rPr>
        <w:t xml:space="preserve"> shall procure the Company to, pay or cause to be paid all such fees, costs, charges, Taxation and expenses. Notwithstanding anything to the contrary in Section 17, if any costs, expenses, fees or charges referred to in this Section is paid or to be paid by any of the Joint Sponsors, the Sponsor-OCs, the Overall Coordinators, the Joint Global Coordinators, the Joint Bookrunners, the Joint Lead Managers</w:t>
      </w:r>
      <w:r w:rsidRPr="009A09FD" w:rsidR="00B9111C">
        <w:rPr>
          <w:snapToGrid w:val="0"/>
        </w:rPr>
        <w:t>, the CMIs</w:t>
      </w:r>
      <w:r w:rsidRPr="009A09FD">
        <w:rPr>
          <w:rFonts w:cs="Times New Roman"/>
          <w:snapToGrid w:val="0"/>
          <w:color w:val="000000"/>
        </w:rPr>
        <w:t xml:space="preserve"> or the </w:t>
      </w:r>
      <w:r w:rsidRPr="009A09FD" w:rsidR="00B90A82">
        <w:rPr>
          <w:rFonts w:cs="Times New Roman"/>
          <w:snapToGrid w:val="0"/>
          <w:color w:val="000000"/>
        </w:rPr>
        <w:t>International</w:t>
      </w:r>
      <w:r w:rsidRPr="009A09FD">
        <w:rPr>
          <w:rFonts w:cs="Times New Roman"/>
          <w:snapToGrid w:val="0"/>
          <w:color w:val="000000"/>
        </w:rPr>
        <w:t xml:space="preserve"> Underwriters for or on behalf of the Company, the Company shall, and the </w:t>
      </w:r>
      <w:r w:rsidRPr="009A09FD" w:rsidR="00684871">
        <w:rPr>
          <w:rFonts w:cs="Times New Roman"/>
          <w:snapToGrid w:val="0"/>
          <w:color w:val="000000"/>
        </w:rPr>
        <w:t xml:space="preserve">Warranting </w:t>
      </w:r>
      <w:r w:rsidRPr="009A09FD">
        <w:rPr>
          <w:rFonts w:cs="Times New Roman"/>
          <w:snapToGrid w:val="0"/>
          <w:color w:val="000000"/>
        </w:rPr>
        <w:t>Shareholders shall procure the Company to, reimburse such costs, expenses, fees or charges to the relevant Joint Sponsor, Sponsor-OC, Overall Coordinator, Joint Global Coordinator, Joint Bookrunner, Joint Lead Manager</w:t>
      </w:r>
      <w:r w:rsidRPr="009A09FD" w:rsidR="00B9111C">
        <w:rPr>
          <w:rFonts w:cs="Times New Roman"/>
          <w:snapToGrid w:val="0"/>
          <w:color w:val="000000"/>
        </w:rPr>
        <w:t>, CMI</w:t>
      </w:r>
      <w:r w:rsidRPr="009A09FD">
        <w:rPr>
          <w:rFonts w:cs="Times New Roman"/>
          <w:snapToGrid w:val="0"/>
          <w:color w:val="000000"/>
        </w:rPr>
        <w:t xml:space="preserve"> or </w:t>
      </w:r>
      <w:r w:rsidRPr="009A09FD" w:rsidR="00B90A82">
        <w:rPr>
          <w:rFonts w:cs="Times New Roman"/>
          <w:snapToGrid w:val="0"/>
          <w:color w:val="000000"/>
        </w:rPr>
        <w:t xml:space="preserve">International </w:t>
      </w:r>
      <w:r w:rsidRPr="009A09FD">
        <w:rPr>
          <w:rFonts w:cs="Times New Roman"/>
          <w:snapToGrid w:val="0"/>
          <w:color w:val="000000"/>
        </w:rPr>
        <w:t>Underwriter on an after-tax basis</w:t>
      </w:r>
      <w:r w:rsidRPr="009A09FD" w:rsidR="007D2F33">
        <w:rPr>
          <w:rFonts w:cs="Times New Roman"/>
          <w:snapToGrid w:val="0"/>
          <w:color w:val="000000"/>
        </w:rPr>
        <w:t>.</w:t>
      </w:r>
    </w:p>
    <w:p w:rsidR="00162F43" w:rsidRPr="009A09FD" w:rsidP="003C6CDA" w14:paraId="4908CAFA" w14:textId="309E36B0">
      <w:pPr>
        <w:pStyle w:val="BodyText1"/>
        <w:rPr>
          <w:snapToGrid w:val="0"/>
        </w:rPr>
      </w:pPr>
      <w:r w:rsidRPr="009A09FD">
        <w:rPr>
          <w:szCs w:val="22"/>
        </w:rPr>
        <w:t>The Company shall further pay to the Joint Sponsors the sponsor fee and other fees and expenses of such amount and in such manner as have been separately agreed between the Company (or any member of the Group) and the Joint Sponsors pursuant to and in accordance with the terms of the Sponsors and Sponsor-OC Mandates</w:t>
      </w:r>
      <w:r w:rsidRPr="009A09FD">
        <w:rPr>
          <w:snapToGrid w:val="0"/>
        </w:rPr>
        <w:t>.</w:t>
      </w:r>
      <w:r>
        <w:rPr>
          <w:rStyle w:val="FootnoteReference"/>
          <w:snapToGrid w:val="0"/>
        </w:rPr>
        <w:footnoteReference w:id="20"/>
      </w:r>
    </w:p>
    <w:p w:rsidR="00162F43" w:rsidRPr="009A09FD" w:rsidP="003C6CDA" w14:paraId="6CDBD6EE" w14:textId="7A8483AD">
      <w:pPr>
        <w:pStyle w:val="BodyText1"/>
        <w:rPr>
          <w:snapToGrid w:val="0"/>
        </w:rPr>
      </w:pPr>
      <w:r w:rsidRPr="009A09FD">
        <w:rPr>
          <w:szCs w:val="22"/>
        </w:rPr>
        <w:t xml:space="preserve">If this Agreement shall be rescinded or terminated or shall not become unconditional or, for any other reason, the Global Offering is not completed, the Company shall not be liable to pay any Underwriting Commission and Incentive Fee under </w:t>
      </w:r>
      <w:r w:rsidRPr="009A09FD" w:rsidR="002262AE">
        <w:rPr>
          <w:szCs w:val="22"/>
        </w:rPr>
        <w:t>Section 1(c)</w:t>
      </w:r>
      <w:r w:rsidRPr="009A09FD">
        <w:rPr>
          <w:szCs w:val="22"/>
        </w:rPr>
        <w:t xml:space="preserve">, but the Company shall, and the </w:t>
      </w:r>
      <w:r w:rsidRPr="009A09FD" w:rsidR="00684871">
        <w:rPr>
          <w:rFonts w:cs="Times New Roman"/>
          <w:snapToGrid w:val="0"/>
          <w:color w:val="000000"/>
        </w:rPr>
        <w:t xml:space="preserve">Warranting </w:t>
      </w:r>
      <w:r w:rsidRPr="009A09FD">
        <w:rPr>
          <w:szCs w:val="22"/>
        </w:rPr>
        <w:t>Shareholders shall procure the Company to,</w:t>
      </w:r>
      <w:r w:rsidRPr="009A09FD">
        <w:rPr>
          <w:szCs w:val="22"/>
          <w:lang w:eastAsia="zh-CN"/>
        </w:rPr>
        <w:t xml:space="preserve"> </w:t>
      </w:r>
      <w:r w:rsidRPr="009A09FD">
        <w:rPr>
          <w:szCs w:val="22"/>
        </w:rPr>
        <w:t xml:space="preserve">pay or reimburse or cause to be paid or reimbursed to the relevant parties, all costs, fees, charges, Taxation and expenses referred to in </w:t>
      </w:r>
      <w:r w:rsidRPr="009A09FD" w:rsidR="006475F8">
        <w:rPr>
          <w:szCs w:val="22"/>
        </w:rPr>
        <w:t>this Section</w:t>
      </w:r>
      <w:r w:rsidRPr="009A09FD">
        <w:rPr>
          <w:szCs w:val="22"/>
        </w:rPr>
        <w:t xml:space="preserve"> which have been incurred or are liable to be paid by the Joint Sponsors, </w:t>
      </w:r>
      <w:r w:rsidRPr="009A09FD">
        <w:rPr>
          <w:szCs w:val="22"/>
          <w:lang w:eastAsia="zh-CN"/>
        </w:rPr>
        <w:t xml:space="preserve">the Sponsor-OCs, </w:t>
      </w:r>
      <w:bookmarkStart w:id="133" w:name="_Hlk149571032"/>
      <w:r w:rsidRPr="009A09FD">
        <w:rPr>
          <w:szCs w:val="22"/>
          <w:lang w:eastAsia="zh-CN"/>
        </w:rPr>
        <w:t xml:space="preserve">the Overall Coordinators, </w:t>
      </w:r>
      <w:r w:rsidRPr="009A09FD">
        <w:rPr>
          <w:szCs w:val="22"/>
        </w:rPr>
        <w:t>the Joint Global Coordinators, the Joint Bookrunners, the Joint Lead Managers</w:t>
      </w:r>
      <w:r w:rsidRPr="009A09FD" w:rsidR="00A641CA">
        <w:rPr>
          <w:snapToGrid w:val="0"/>
        </w:rPr>
        <w:t>, the CMIs</w:t>
      </w:r>
      <w:r w:rsidRPr="009A09FD">
        <w:rPr>
          <w:szCs w:val="22"/>
        </w:rPr>
        <w:t xml:space="preserve"> and/or the </w:t>
      </w:r>
      <w:r w:rsidRPr="009A09FD" w:rsidR="002262AE">
        <w:rPr>
          <w:szCs w:val="22"/>
        </w:rPr>
        <w:t>International</w:t>
      </w:r>
      <w:r w:rsidRPr="009A09FD">
        <w:rPr>
          <w:szCs w:val="22"/>
        </w:rPr>
        <w:t xml:space="preserve"> Underwriters</w:t>
      </w:r>
      <w:bookmarkEnd w:id="133"/>
      <w:r w:rsidRPr="009A09FD">
        <w:rPr>
          <w:szCs w:val="22"/>
        </w:rPr>
        <w:t xml:space="preserve"> and all other costs, fees, charges, Taxation and expenses payable by the Company pursuant to </w:t>
      </w:r>
      <w:r w:rsidRPr="009A09FD" w:rsidR="006475F8">
        <w:rPr>
          <w:szCs w:val="22"/>
        </w:rPr>
        <w:t>this Section</w:t>
      </w:r>
      <w:r w:rsidRPr="009A09FD">
        <w:rPr>
          <w:szCs w:val="22"/>
        </w:rPr>
        <w:t xml:space="preserve"> within [15] Business Days of the first written request by the Joint Sponsors, </w:t>
      </w:r>
      <w:r w:rsidRPr="009A09FD">
        <w:rPr>
          <w:szCs w:val="22"/>
          <w:lang w:eastAsia="zh-CN"/>
        </w:rPr>
        <w:t xml:space="preserve">the Sponsor-OCs, the Overall Coordinators, </w:t>
      </w:r>
      <w:r w:rsidRPr="009A09FD">
        <w:rPr>
          <w:szCs w:val="22"/>
        </w:rPr>
        <w:t xml:space="preserve">the </w:t>
      </w:r>
      <w:r w:rsidRPr="009A09FD">
        <w:rPr>
          <w:rFonts w:hint="eastAsia"/>
          <w:szCs w:val="22"/>
          <w:lang w:eastAsia="zh-CN"/>
        </w:rPr>
        <w:t>Joint Global Coordinators</w:t>
      </w:r>
      <w:r w:rsidRPr="009A09FD">
        <w:rPr>
          <w:szCs w:val="22"/>
        </w:rPr>
        <w:t xml:space="preserve">, the Joint Bookrunners, the Joint Lead Managers, </w:t>
      </w:r>
      <w:r w:rsidRPr="009A09FD" w:rsidR="00896C1C">
        <w:rPr>
          <w:snapToGrid w:val="0"/>
        </w:rPr>
        <w:t>, the CMIs</w:t>
      </w:r>
      <w:r w:rsidRPr="009A09FD" w:rsidR="00896C1C">
        <w:rPr>
          <w:szCs w:val="22"/>
        </w:rPr>
        <w:t xml:space="preserve">, </w:t>
      </w:r>
      <w:r w:rsidRPr="009A09FD">
        <w:rPr>
          <w:szCs w:val="22"/>
        </w:rPr>
        <w:t xml:space="preserve">the </w:t>
      </w:r>
      <w:r w:rsidRPr="009A09FD" w:rsidR="002262AE">
        <w:rPr>
          <w:szCs w:val="22"/>
        </w:rPr>
        <w:t xml:space="preserve">International </w:t>
      </w:r>
      <w:r w:rsidRPr="009A09FD">
        <w:rPr>
          <w:szCs w:val="22"/>
        </w:rPr>
        <w:t>Underwriters or the relevant party which incurred the costs, fees, charges, Taxation and expenses, as the case may be[</w:t>
      </w:r>
      <w:r w:rsidRPr="009A09FD">
        <w:rPr>
          <w:rFonts w:hint="eastAsia"/>
          <w:szCs w:val="22"/>
        </w:rPr>
        <w:t xml:space="preserve">, </w:t>
      </w:r>
      <w:r w:rsidRPr="009A09FD">
        <w:rPr>
          <w:szCs w:val="22"/>
        </w:rPr>
        <w:t xml:space="preserve">and the Joint Sponsors, </w:t>
      </w:r>
      <w:r w:rsidRPr="009A09FD">
        <w:rPr>
          <w:szCs w:val="22"/>
          <w:lang w:eastAsia="zh-CN"/>
        </w:rPr>
        <w:t xml:space="preserve">the Sponsor-OCs, the Overall Coordinators, </w:t>
      </w:r>
      <w:r w:rsidRPr="009A09FD">
        <w:rPr>
          <w:szCs w:val="22"/>
        </w:rPr>
        <w:t>the Joint Global Coordinators, the Joint Bookrunners, the Joint Lead Managers</w:t>
      </w:r>
      <w:r w:rsidRPr="009A09FD" w:rsidR="00757BB4">
        <w:rPr>
          <w:snapToGrid w:val="0"/>
        </w:rPr>
        <w:t>, the CMIs</w:t>
      </w:r>
      <w:r w:rsidRPr="009A09FD">
        <w:rPr>
          <w:szCs w:val="22"/>
        </w:rPr>
        <w:t xml:space="preserve"> and the </w:t>
      </w:r>
      <w:r w:rsidRPr="009A09FD" w:rsidR="002262AE">
        <w:rPr>
          <w:szCs w:val="22"/>
        </w:rPr>
        <w:t xml:space="preserve">International </w:t>
      </w:r>
      <w:r w:rsidRPr="009A09FD">
        <w:rPr>
          <w:szCs w:val="22"/>
        </w:rPr>
        <w:t>Underwriters may, in accordance with the provisions of the Receiving Bank Agreement, instruct the Nominee to make such payment</w:t>
      </w:r>
      <w:r w:rsidRPr="009A09FD" w:rsidR="002262AE">
        <w:rPr>
          <w:szCs w:val="22"/>
        </w:rPr>
        <w:t>]</w:t>
      </w:r>
      <w:r>
        <w:rPr>
          <w:rStyle w:val="FootnoteReference"/>
          <w:szCs w:val="22"/>
        </w:rPr>
        <w:footnoteReference w:id="21"/>
      </w:r>
      <w:r w:rsidRPr="009A09FD">
        <w:rPr>
          <w:szCs w:val="22"/>
        </w:rPr>
        <w:t>.</w:t>
      </w:r>
    </w:p>
    <w:p w:rsidR="001C5107" w:rsidRPr="009A09FD" w:rsidP="003C6CDA" w14:paraId="44DF0F7F" w14:textId="0019BD8A">
      <w:pPr>
        <w:pStyle w:val="Heading1"/>
        <w:rPr>
          <w:rFonts w:cs="Arial"/>
          <w:snapToGrid w:val="0"/>
        </w:rPr>
      </w:pPr>
      <w:bookmarkStart w:id="134" w:name="_Toc517409038"/>
      <w:bookmarkStart w:id="135" w:name="_Toc72862706"/>
      <w:bookmarkStart w:id="136" w:name="_Ref150441014"/>
      <w:bookmarkStart w:id="137" w:name="_Ref367267226"/>
      <w:bookmarkEnd w:id="131"/>
      <w:r w:rsidRPr="009A09FD">
        <w:rPr>
          <w:snapToGrid w:val="0"/>
        </w:rPr>
        <w:t xml:space="preserve">Additional Covenants of the </w:t>
      </w:r>
      <w:bookmarkEnd w:id="134"/>
      <w:bookmarkEnd w:id="135"/>
      <w:bookmarkEnd w:id="136"/>
      <w:r w:rsidRPr="009A09FD">
        <w:rPr>
          <w:snapToGrid w:val="0"/>
        </w:rPr>
        <w:t>Warranting Shareholders</w:t>
      </w:r>
    </w:p>
    <w:p w:rsidR="001C5107" w:rsidRPr="009A09FD" w:rsidP="003C6CDA" w14:paraId="3C625726" w14:textId="01D82745">
      <w:pPr>
        <w:pStyle w:val="BodyText1"/>
        <w:rPr>
          <w:snapToGrid w:val="0"/>
        </w:rPr>
      </w:pPr>
      <w:r w:rsidRPr="009A09FD">
        <w:rPr>
          <w:snapToGrid w:val="0"/>
        </w:rPr>
        <w:t xml:space="preserve">Each of the </w:t>
      </w:r>
      <w:r w:rsidRPr="009A09FD" w:rsidR="00096C80">
        <w:rPr>
          <w:snapToGrid w:val="0"/>
        </w:rPr>
        <w:t>Warranting Shareholders</w:t>
      </w:r>
      <w:r w:rsidRPr="009A09FD" w:rsidR="0045566B">
        <w:rPr>
          <w:snapToGrid w:val="0"/>
        </w:rPr>
        <w:t xml:space="preserve"> agree</w:t>
      </w:r>
      <w:r w:rsidRPr="009A09FD" w:rsidR="0045566B">
        <w:rPr>
          <w:rFonts w:hint="eastAsia"/>
          <w:snapToGrid w:val="0"/>
        </w:rPr>
        <w:t>s</w:t>
      </w:r>
      <w:r w:rsidRPr="009A09FD" w:rsidR="0045566B">
        <w:rPr>
          <w:snapToGrid w:val="0"/>
        </w:rPr>
        <w:t xml:space="preserve"> and undertake</w:t>
      </w:r>
      <w:r w:rsidRPr="009A09FD" w:rsidR="0045566B">
        <w:rPr>
          <w:rFonts w:hint="eastAsia"/>
          <w:snapToGrid w:val="0"/>
        </w:rPr>
        <w:t>s</w:t>
      </w:r>
      <w:r w:rsidRPr="009A09FD" w:rsidR="0045566B">
        <w:rPr>
          <w:snapToGrid w:val="0"/>
        </w:rPr>
        <w:t xml:space="preserve"> with each of </w:t>
      </w:r>
      <w:r w:rsidRPr="009A09FD" w:rsidR="004E66C7">
        <w:rPr>
          <w:snapToGrid w:val="0"/>
        </w:rPr>
        <w:t xml:space="preserve">the Joint Sponsors, </w:t>
      </w:r>
      <w:r w:rsidRPr="009A09FD" w:rsidR="00337DC0">
        <w:rPr>
          <w:snapToGrid w:val="0"/>
        </w:rPr>
        <w:t xml:space="preserve">the Sponsor-OCs, </w:t>
      </w:r>
      <w:r w:rsidRPr="009A09FD" w:rsidR="0045566B">
        <w:rPr>
          <w:snapToGrid w:val="0"/>
        </w:rPr>
        <w:t xml:space="preserve">the </w:t>
      </w:r>
      <w:r w:rsidRPr="009A09FD" w:rsidR="00E81046">
        <w:rPr>
          <w:snapToGrid w:val="0"/>
        </w:rPr>
        <w:t>Overall Coordinators</w:t>
      </w:r>
      <w:r w:rsidRPr="009A09FD" w:rsidR="0045566B">
        <w:rPr>
          <w:snapToGrid w:val="0"/>
        </w:rPr>
        <w:t>, the Joint Global Coordinators,</w:t>
      </w:r>
      <w:r w:rsidRPr="009A09FD" w:rsidR="00337DC0">
        <w:rPr>
          <w:snapToGrid w:val="0"/>
        </w:rPr>
        <w:t xml:space="preserve"> </w:t>
      </w:r>
      <w:r w:rsidRPr="009A09FD" w:rsidR="0045566B">
        <w:rPr>
          <w:snapToGrid w:val="0"/>
        </w:rPr>
        <w:t>the Joint Bookrunners, the Joint Lead Managers</w:t>
      </w:r>
      <w:r w:rsidRPr="009A09FD" w:rsidR="00F26112">
        <w:rPr>
          <w:snapToGrid w:val="0"/>
        </w:rPr>
        <w:t>, the CMIs</w:t>
      </w:r>
      <w:r w:rsidRPr="009A09FD" w:rsidR="0076716B">
        <w:rPr>
          <w:snapToGrid w:val="0"/>
        </w:rPr>
        <w:t xml:space="preserve"> </w:t>
      </w:r>
      <w:r w:rsidRPr="009A09FD" w:rsidR="0045566B">
        <w:rPr>
          <w:snapToGrid w:val="0"/>
        </w:rPr>
        <w:t>and the International Underwriters to comply with the following:</w:t>
      </w:r>
    </w:p>
    <w:p w:rsidR="001C5107" w:rsidRPr="009A09FD" w:rsidP="003C6CDA" w14:paraId="23B628BE" w14:textId="1A643586">
      <w:pPr>
        <w:pStyle w:val="Heading3"/>
        <w:rPr>
          <w:snapToGrid w:val="0"/>
        </w:rPr>
      </w:pPr>
      <w:r w:rsidRPr="009A09FD">
        <w:rPr>
          <w:snapToGrid w:val="0"/>
        </w:rPr>
        <w:t xml:space="preserve">not to, and to </w:t>
      </w:r>
      <w:r w:rsidRPr="009A09FD" w:rsidR="00E41CAA">
        <w:rPr>
          <w:snapToGrid w:val="0"/>
        </w:rPr>
        <w:t>procure</w:t>
      </w:r>
      <w:r w:rsidRPr="009A09FD">
        <w:rPr>
          <w:rFonts w:hint="eastAsia"/>
          <w:snapToGrid w:val="0"/>
        </w:rPr>
        <w:t xml:space="preserve"> </w:t>
      </w:r>
      <w:r w:rsidRPr="009A09FD" w:rsidR="00BE5BB7">
        <w:rPr>
          <w:snapToGrid w:val="0"/>
        </w:rPr>
        <w:t>its/his/her</w:t>
      </w:r>
      <w:r w:rsidRPr="009A09FD" w:rsidR="00BE5BB7">
        <w:rPr>
          <w:rFonts w:hint="eastAsia"/>
          <w:snapToGrid w:val="0"/>
        </w:rPr>
        <w:t xml:space="preserve"> </w:t>
      </w:r>
      <w:r w:rsidRPr="009A09FD">
        <w:rPr>
          <w:snapToGrid w:val="0"/>
        </w:rPr>
        <w:t xml:space="preserve">Affiliates and any person acting on </w:t>
      </w:r>
      <w:r w:rsidRPr="009A09FD" w:rsidR="00BE5BB7">
        <w:rPr>
          <w:snapToGrid w:val="0"/>
        </w:rPr>
        <w:t>its/his/her</w:t>
      </w:r>
      <w:r w:rsidRPr="009A09FD" w:rsidR="00BE5BB7">
        <w:rPr>
          <w:rFonts w:hint="eastAsia"/>
          <w:snapToGrid w:val="0"/>
        </w:rPr>
        <w:t xml:space="preserve"> </w:t>
      </w:r>
      <w:r w:rsidRPr="009A09FD">
        <w:rPr>
          <w:snapToGrid w:val="0"/>
        </w:rPr>
        <w:t xml:space="preserve">behalf not to, offer or sell the Offer Shares or other securities of the Company by means of </w:t>
      </w:r>
      <w:r w:rsidRPr="009A09FD" w:rsidR="003B1F88">
        <w:rPr>
          <w:snapToGrid w:val="0"/>
        </w:rPr>
        <w:t xml:space="preserve">(A) any “general solicitation or general advertising” within the meaning of Rule 502(c) under the Securities Act or any other conduct involving a public offering within the meaning of Section 4(a)(2) of the Securities Act or (B) </w:t>
      </w:r>
      <w:r w:rsidRPr="009A09FD">
        <w:rPr>
          <w:snapToGrid w:val="0"/>
        </w:rPr>
        <w:t>any “directed selling efforts” within the meaning of Rule 902 under the Securities Act;</w:t>
      </w:r>
    </w:p>
    <w:p w:rsidR="001C5107" w:rsidRPr="009A09FD" w:rsidP="003C6CDA" w14:paraId="1E45D5FF" w14:textId="7634F724">
      <w:pPr>
        <w:pStyle w:val="Heading3"/>
        <w:rPr>
          <w:snapToGrid w:val="0"/>
        </w:rPr>
      </w:pPr>
      <w:r w:rsidRPr="009A09FD">
        <w:rPr>
          <w:snapToGrid w:val="0"/>
        </w:rPr>
        <w:t xml:space="preserve">not to, and </w:t>
      </w:r>
      <w:r w:rsidRPr="009A09FD">
        <w:rPr>
          <w:rFonts w:hint="eastAsia"/>
          <w:snapToGrid w:val="0"/>
        </w:rPr>
        <w:t xml:space="preserve">to </w:t>
      </w:r>
      <w:r w:rsidRPr="009A09FD" w:rsidR="00E41CAA">
        <w:rPr>
          <w:snapToGrid w:val="0"/>
        </w:rPr>
        <w:t xml:space="preserve">procure </w:t>
      </w:r>
      <w:r w:rsidRPr="009A09FD" w:rsidR="00BE5BB7">
        <w:rPr>
          <w:snapToGrid w:val="0"/>
        </w:rPr>
        <w:t>its/his/her</w:t>
      </w:r>
      <w:r w:rsidRPr="009A09FD" w:rsidR="00BE5BB7">
        <w:rPr>
          <w:rFonts w:hint="eastAsia"/>
          <w:snapToGrid w:val="0"/>
        </w:rPr>
        <w:t xml:space="preserve"> </w:t>
      </w:r>
      <w:r w:rsidRPr="009A09FD">
        <w:rPr>
          <w:snapToGrid w:val="0"/>
        </w:rPr>
        <w:t xml:space="preserve">Affiliates and any person acting on </w:t>
      </w:r>
      <w:r w:rsidRPr="009A09FD" w:rsidR="00BE5BB7">
        <w:rPr>
          <w:snapToGrid w:val="0"/>
        </w:rPr>
        <w:t>its/his/her</w:t>
      </w:r>
      <w:r w:rsidRPr="009A09FD" w:rsidR="00BE5BB7">
        <w:rPr>
          <w:rFonts w:hint="eastAsia"/>
          <w:snapToGrid w:val="0"/>
        </w:rPr>
        <w:t xml:space="preserve"> </w:t>
      </w:r>
      <w:r w:rsidRPr="009A09FD">
        <w:rPr>
          <w:snapToGrid w:val="0"/>
        </w:rPr>
        <w:t xml:space="preserve">behalf </w:t>
      </w:r>
      <w:r w:rsidRPr="009A09FD" w:rsidR="00E41CAA">
        <w:rPr>
          <w:snapToGrid w:val="0"/>
        </w:rPr>
        <w:t xml:space="preserve">(except </w:t>
      </w:r>
      <w:r w:rsidRPr="009A09FD" w:rsidR="00E41CAA">
        <w:rPr>
          <w:rFonts w:hint="eastAsia"/>
          <w:snapToGrid w:val="0"/>
        </w:rPr>
        <w:t xml:space="preserve">the </w:t>
      </w:r>
      <w:r w:rsidRPr="009A09FD" w:rsidR="00E41CAA">
        <w:rPr>
          <w:snapToGrid w:val="0"/>
        </w:rPr>
        <w:t xml:space="preserve">Overall Coordinators, the </w:t>
      </w:r>
      <w:r w:rsidRPr="009A09FD" w:rsidR="00E41CAA">
        <w:rPr>
          <w:rFonts w:hint="eastAsia"/>
          <w:snapToGrid w:val="0"/>
        </w:rPr>
        <w:t xml:space="preserve">Joint Global Coordinators and </w:t>
      </w:r>
      <w:r w:rsidRPr="009A09FD" w:rsidR="00E41CAA">
        <w:rPr>
          <w:snapToGrid w:val="0"/>
        </w:rPr>
        <w:t xml:space="preserve">the International Underwriters and their respective Affiliates as to whom no representation or warranty or agreement is given) </w:t>
      </w:r>
      <w:r w:rsidRPr="009A09FD">
        <w:rPr>
          <w:rFonts w:hint="eastAsia"/>
          <w:snapToGrid w:val="0"/>
        </w:rPr>
        <w:t xml:space="preserve">not to, </w:t>
      </w:r>
      <w:r w:rsidRPr="009A09FD">
        <w:rPr>
          <w:snapToGrid w:val="0"/>
        </w:rPr>
        <w:t>offer or sell any Offer Shares or other securities of the Company, if any, or directly or indirectly solicit any offers to buy any Offer Shares or other securities of the Company, if any, from institutional investors or members of the public in the United States or any other jurisdiction in any circumstances</w:t>
      </w:r>
      <w:r w:rsidRPr="009A09FD">
        <w:rPr>
          <w:rFonts w:hint="eastAsia"/>
          <w:snapToGrid w:val="0"/>
        </w:rPr>
        <w:t xml:space="preserve"> </w:t>
      </w:r>
      <w:r w:rsidRPr="009A09FD">
        <w:rPr>
          <w:snapToGrid w:val="0"/>
        </w:rPr>
        <w:t>that would require the registration of any of the Offer Shares under the Securities Act or under the securities laws of such other jurisdiction or if such a sale would result in a violation of the Securities Act or the relevant securities law of such other jurisdiction;</w:t>
      </w:r>
      <w:r w:rsidRPr="009A09FD">
        <w:rPr>
          <w:rFonts w:hint="eastAsia"/>
          <w:snapToGrid w:val="0"/>
        </w:rPr>
        <w:t xml:space="preserve"> </w:t>
      </w:r>
    </w:p>
    <w:p w:rsidR="0049377A" w:rsidRPr="009A09FD" w:rsidP="003C6CDA" w14:paraId="3B4D49BA" w14:textId="0E5A4097">
      <w:pPr>
        <w:pStyle w:val="Heading3"/>
        <w:rPr>
          <w:snapToGrid w:val="0"/>
        </w:rPr>
      </w:pPr>
      <w:r w:rsidRPr="009A09FD">
        <w:rPr>
          <w:snapToGrid w:val="0"/>
        </w:rPr>
        <w:t xml:space="preserve">prior to the expiration of one year after the latest Time of Delivery, not to, and not to permit any of </w:t>
      </w:r>
      <w:r w:rsidRPr="009A09FD" w:rsidR="00BE5BB7">
        <w:rPr>
          <w:snapToGrid w:val="0"/>
        </w:rPr>
        <w:t>its/his/her</w:t>
      </w:r>
      <w:r w:rsidRPr="009A09FD">
        <w:rPr>
          <w:snapToGrid w:val="0"/>
        </w:rPr>
        <w:t xml:space="preserve"> </w:t>
      </w:r>
      <w:r w:rsidRPr="009A09FD" w:rsidR="00E41CAA">
        <w:rPr>
          <w:snapToGrid w:val="0"/>
        </w:rPr>
        <w:t>A</w:t>
      </w:r>
      <w:r w:rsidRPr="009A09FD">
        <w:rPr>
          <w:snapToGrid w:val="0"/>
        </w:rPr>
        <w:t>ffiliates to</w:t>
      </w:r>
      <w:r w:rsidRPr="009A09FD" w:rsidR="005C5076">
        <w:rPr>
          <w:snapToGrid w:val="0"/>
        </w:rPr>
        <w:t xml:space="preserve"> </w:t>
      </w:r>
      <w:r w:rsidRPr="009A09FD">
        <w:rPr>
          <w:snapToGrid w:val="0"/>
        </w:rPr>
        <w:t>resell any of the Shares which constitute “restricted securities” under Rule 144 of the Securities Act that have been reacquired by any of them;</w:t>
      </w:r>
    </w:p>
    <w:p w:rsidR="0049377A" w:rsidRPr="009A09FD" w:rsidP="003C6CDA" w14:paraId="1F122B74" w14:textId="5DED56BF">
      <w:pPr>
        <w:pStyle w:val="Heading3"/>
        <w:rPr>
          <w:snapToGrid w:val="0"/>
        </w:rPr>
      </w:pPr>
      <w:r w:rsidRPr="009A09FD">
        <w:rPr>
          <w:snapToGrid w:val="0"/>
        </w:rPr>
        <w:t xml:space="preserve">not to, and to </w:t>
      </w:r>
      <w:r w:rsidRPr="009A09FD" w:rsidR="00D73BB2">
        <w:rPr>
          <w:snapToGrid w:val="0"/>
        </w:rPr>
        <w:t xml:space="preserve">procure </w:t>
      </w:r>
      <w:r w:rsidRPr="009A09FD" w:rsidR="00BE5BB7">
        <w:rPr>
          <w:snapToGrid w:val="0"/>
        </w:rPr>
        <w:t>its/his/her</w:t>
      </w:r>
      <w:r w:rsidRPr="009A09FD" w:rsidR="00BE5BB7">
        <w:rPr>
          <w:snapToGrid w:val="0"/>
        </w:rPr>
        <w:t xml:space="preserve"> </w:t>
      </w:r>
      <w:r w:rsidRPr="009A09FD">
        <w:rPr>
          <w:snapToGrid w:val="0"/>
        </w:rPr>
        <w:t xml:space="preserve">Affiliates or any person acting on </w:t>
      </w:r>
      <w:r w:rsidRPr="009A09FD" w:rsidR="00BE5BB7">
        <w:rPr>
          <w:snapToGrid w:val="0"/>
        </w:rPr>
        <w:t>its/his/her</w:t>
      </w:r>
      <w:r w:rsidRPr="009A09FD" w:rsidR="00BE5BB7">
        <w:rPr>
          <w:snapToGrid w:val="0"/>
        </w:rPr>
        <w:t xml:space="preserve"> </w:t>
      </w:r>
      <w:r w:rsidRPr="009A09FD">
        <w:rPr>
          <w:snapToGrid w:val="0"/>
        </w:rPr>
        <w:t>behalf not to, directly or indirectly, solicit any offer to buy, sell or make any offer or sale of, or otherwise negotiate in respect of, shares of the Company of any class if, as a result of the doctrine of “integration” referred to in Rule 502 under the Securities Act, such offer or sale would render invalid (for the purposes of (A) the sale of the Offer Shares by the Company to the International Underwriters, (B) the resale of the Offer Shares by the International Underwriters to subsequent purchasers</w:t>
      </w:r>
      <w:r w:rsidRPr="009A09FD" w:rsidR="00DB2CEC">
        <w:rPr>
          <w:snapToGrid w:val="0"/>
        </w:rPr>
        <w:t>, or (C) the resale of the Offer Shares by such subsequent purchasers to others</w:t>
      </w:r>
      <w:r w:rsidRPr="009A09FD" w:rsidR="00EE691B">
        <w:rPr>
          <w:snapToGrid w:val="0"/>
        </w:rPr>
        <w:t>)</w:t>
      </w:r>
      <w:r w:rsidRPr="009A09FD" w:rsidR="00DB2CEC">
        <w:rPr>
          <w:snapToGrid w:val="0"/>
        </w:rPr>
        <w:t xml:space="preserve"> </w:t>
      </w:r>
      <w:r w:rsidRPr="009A09FD">
        <w:rPr>
          <w:snapToGrid w:val="0"/>
        </w:rPr>
        <w:t>the exemption from the registration requirements of the Securities Act provided by Section 4(a)(2) thereof or by Rule 144A or the safe harbor provided by Regulation S thereunder or otherwise;</w:t>
      </w:r>
    </w:p>
    <w:p w:rsidR="007C58DB" w:rsidRPr="009A09FD" w:rsidP="003C6CDA" w14:paraId="7EA4F524" w14:textId="586795CF">
      <w:pPr>
        <w:pStyle w:val="Heading3"/>
        <w:rPr>
          <w:snapToGrid w:val="0"/>
        </w:rPr>
      </w:pPr>
      <w:bookmarkStart w:id="138" w:name="_Ref150441016"/>
      <w:r w:rsidRPr="009A09FD">
        <w:rPr>
          <w:snapToGrid w:val="0"/>
        </w:rPr>
        <w:t>[</w:t>
      </w:r>
      <w:r w:rsidRPr="009A09FD" w:rsidR="0045566B">
        <w:rPr>
          <w:snapToGrid w:val="0"/>
        </w:rPr>
        <w:t xml:space="preserve">without the prior written consent of the </w:t>
      </w:r>
      <w:r w:rsidRPr="009A09FD" w:rsidR="00AD4088">
        <w:rPr>
          <w:snapToGrid w:val="0"/>
        </w:rPr>
        <w:t xml:space="preserve">Joint </w:t>
      </w:r>
      <w:r w:rsidRPr="009A09FD" w:rsidR="004307BB">
        <w:rPr>
          <w:snapToGrid w:val="0"/>
        </w:rPr>
        <w:t>Sponsor</w:t>
      </w:r>
      <w:r w:rsidRPr="009A09FD" w:rsidR="00AD4088">
        <w:rPr>
          <w:snapToGrid w:val="0"/>
        </w:rPr>
        <w:t>s</w:t>
      </w:r>
      <w:r w:rsidRPr="009A09FD" w:rsidR="00CC252B">
        <w:rPr>
          <w:snapToGrid w:val="0"/>
        </w:rPr>
        <w:t>,</w:t>
      </w:r>
      <w:r w:rsidRPr="009A09FD" w:rsidR="0045566B">
        <w:rPr>
          <w:snapToGrid w:val="0"/>
        </w:rPr>
        <w:t xml:space="preserve"> </w:t>
      </w:r>
      <w:r w:rsidRPr="009A09FD" w:rsidR="00EB1CC6">
        <w:rPr>
          <w:snapToGrid w:val="0"/>
        </w:rPr>
        <w:t>the Sponsor-OC</w:t>
      </w:r>
      <w:r w:rsidRPr="009A09FD" w:rsidR="005539B3">
        <w:rPr>
          <w:snapToGrid w:val="0"/>
        </w:rPr>
        <w:t>s</w:t>
      </w:r>
      <w:r w:rsidRPr="009A09FD" w:rsidR="00EB1CC6">
        <w:rPr>
          <w:snapToGrid w:val="0"/>
        </w:rPr>
        <w:t xml:space="preserve"> and </w:t>
      </w:r>
      <w:r w:rsidRPr="009A09FD" w:rsidR="0045566B">
        <w:rPr>
          <w:snapToGrid w:val="0"/>
        </w:rPr>
        <w:t xml:space="preserve">the </w:t>
      </w:r>
      <w:r w:rsidRPr="009A09FD" w:rsidR="00AD4088">
        <w:rPr>
          <w:snapToGrid w:val="0"/>
        </w:rPr>
        <w:t>Overall Coordinators</w:t>
      </w:r>
      <w:r w:rsidRPr="009A09FD" w:rsidR="00CC252B">
        <w:rPr>
          <w:snapToGrid w:val="0"/>
        </w:rPr>
        <w:t xml:space="preserve"> </w:t>
      </w:r>
      <w:r w:rsidRPr="009A09FD" w:rsidR="0045566B">
        <w:rPr>
          <w:snapToGrid w:val="0"/>
        </w:rPr>
        <w:t>(for themselves and on behalf of the International Underwriters) and unless in compliance with the requirements of the Listing Rules:</w:t>
      </w:r>
      <w:r w:rsidRPr="009A09FD" w:rsidR="0045566B">
        <w:rPr>
          <w:rFonts w:hint="eastAsia"/>
          <w:snapToGrid w:val="0"/>
        </w:rPr>
        <w:t xml:space="preserve"> </w:t>
      </w:r>
      <w:bookmarkStart w:id="139" w:name="_Ref517407887"/>
    </w:p>
    <w:p w:rsidR="001C5107" w:rsidRPr="009A09FD" w:rsidP="007C58DB" w14:paraId="45B43924" w14:textId="7525B31A">
      <w:pPr>
        <w:pStyle w:val="Heading4"/>
        <w:rPr>
          <w:snapToGrid w:val="0"/>
        </w:rPr>
      </w:pPr>
      <w:bookmarkStart w:id="140" w:name="_Ref51860560"/>
      <w:bookmarkStart w:id="141" w:name="_Ref126947709"/>
      <w:bookmarkEnd w:id="138"/>
      <w:bookmarkEnd w:id="139"/>
      <w:r w:rsidRPr="009A09FD">
        <w:rPr>
          <w:szCs w:val="22"/>
        </w:rPr>
        <w:t xml:space="preserve">it/he/she will not, and will procure that the relevant registered holder(s), any nominee or trustee holding on trust for it/him/her and the companies controlled by it/him/her will not, at any time during </w:t>
      </w:r>
      <w:r w:rsidRPr="009A09FD">
        <w:rPr>
          <w:szCs w:val="22"/>
          <w:lang w:eastAsia="zh-CN"/>
        </w:rPr>
        <w:t>the First Six Month Period</w:t>
      </w:r>
      <w:r w:rsidRPr="009A09FD">
        <w:rPr>
          <w:szCs w:val="22"/>
        </w:rPr>
        <w:t>, (</w:t>
      </w:r>
      <w:r w:rsidRPr="009A09FD" w:rsidR="00793D6B">
        <w:rPr>
          <w:szCs w:val="22"/>
        </w:rPr>
        <w:t>A</w:t>
      </w:r>
      <w:r w:rsidRPr="009A09FD">
        <w:rPr>
          <w:szCs w:val="22"/>
        </w:rPr>
        <w:t>) sell, offer to sell, accept subscription for, contract or agree to allot, issue or sell, mortgage, charge, pledge, hypothecate, lend, grant or sell any option, warrant, contract or right to purchase, grant or purchase any option, warrant, contract or right to sell, or otherwise transfer or dispose of or create an Encumbrance over, or agree to transfer or dispose of or create an Encumbrance over, either directly or indirectly, conditionally or unconditionally, any Shares or other securities of the Company or any interest therein (including, without limitation, any securities convertible into or exchangeable or exercisable for or that represent the right to receive, or any warrants or other rights to purchase, any Shares</w:t>
      </w:r>
      <w:r w:rsidRPr="009A09FD">
        <w:rPr>
          <w:szCs w:val="22"/>
          <w:lang w:eastAsia="zh-CN"/>
        </w:rPr>
        <w:t xml:space="preserve"> </w:t>
      </w:r>
      <w:r w:rsidRPr="009A09FD">
        <w:rPr>
          <w:szCs w:val="22"/>
        </w:rPr>
        <w:t>or any such other securities, as applicable or any interest in any of the foregoing), or deposit any Shares or other securities of the Company with a depositary in connection with the issue of depositary receipts, or (</w:t>
      </w:r>
      <w:r w:rsidRPr="009A09FD" w:rsidR="00793D6B">
        <w:rPr>
          <w:szCs w:val="22"/>
        </w:rPr>
        <w:t>B</w:t>
      </w:r>
      <w:r w:rsidRPr="009A09FD">
        <w:rPr>
          <w:szCs w:val="22"/>
        </w:rPr>
        <w:t>) enter into any swap or other arrangement that transfers to another, in whole or in part, any of the economic consequences of ownership (legal or beneficial) of any Shares or other securities of the Company or any interest therein (including, without limitation, any securities convertible into or exchangeable or exercisable for or that represent the right to receive, or any warrants or other rights to purchase, any Shares</w:t>
      </w:r>
      <w:r w:rsidRPr="009A09FD">
        <w:rPr>
          <w:szCs w:val="22"/>
          <w:lang w:eastAsia="zh-CN"/>
        </w:rPr>
        <w:t xml:space="preserve"> </w:t>
      </w:r>
      <w:r w:rsidRPr="009A09FD">
        <w:rPr>
          <w:szCs w:val="22"/>
        </w:rPr>
        <w:t>or any such other securities, as applicable or any interest in any of the foregoing), or (</w:t>
      </w:r>
      <w:r w:rsidRPr="009A09FD" w:rsidR="00793D6B">
        <w:rPr>
          <w:szCs w:val="22"/>
        </w:rPr>
        <w:t>C</w:t>
      </w:r>
      <w:r w:rsidRPr="009A09FD">
        <w:rPr>
          <w:szCs w:val="22"/>
        </w:rPr>
        <w:t xml:space="preserve">) enter into any transaction with the same economic effect as any transaction specified in </w:t>
      </w:r>
      <w:r w:rsidRPr="009A09FD">
        <w:rPr>
          <w:szCs w:val="22"/>
          <w:lang w:eastAsia="zh-CN"/>
        </w:rPr>
        <w:t>(</w:t>
      </w:r>
      <w:r w:rsidRPr="009A09FD" w:rsidR="00793D6B">
        <w:rPr>
          <w:szCs w:val="22"/>
          <w:lang w:eastAsia="zh-CN"/>
        </w:rPr>
        <w:t>A</w:t>
      </w:r>
      <w:r w:rsidRPr="009A09FD">
        <w:rPr>
          <w:szCs w:val="22"/>
          <w:lang w:eastAsia="zh-CN"/>
        </w:rPr>
        <w:t>) or (</w:t>
      </w:r>
      <w:r w:rsidRPr="009A09FD" w:rsidR="00793D6B">
        <w:rPr>
          <w:szCs w:val="22"/>
          <w:lang w:eastAsia="zh-CN"/>
        </w:rPr>
        <w:t>B</w:t>
      </w:r>
      <w:r w:rsidRPr="009A09FD">
        <w:rPr>
          <w:szCs w:val="22"/>
          <w:lang w:eastAsia="zh-CN"/>
        </w:rPr>
        <w:t>) above</w:t>
      </w:r>
      <w:r w:rsidRPr="009A09FD">
        <w:rPr>
          <w:szCs w:val="22"/>
        </w:rPr>
        <w:t>, or (</w:t>
      </w:r>
      <w:r w:rsidRPr="009A09FD" w:rsidR="00793D6B">
        <w:rPr>
          <w:szCs w:val="22"/>
        </w:rPr>
        <w:t>D</w:t>
      </w:r>
      <w:r w:rsidRPr="009A09FD">
        <w:rPr>
          <w:szCs w:val="22"/>
        </w:rPr>
        <w:t xml:space="preserve">) offer or agree </w:t>
      </w:r>
      <w:r w:rsidRPr="009A09FD" w:rsidR="009C0D4F">
        <w:rPr>
          <w:szCs w:val="22"/>
        </w:rPr>
        <w:t xml:space="preserve">or contract </w:t>
      </w:r>
      <w:r w:rsidRPr="009A09FD">
        <w:rPr>
          <w:szCs w:val="22"/>
        </w:rPr>
        <w:t>to</w:t>
      </w:r>
      <w:r w:rsidRPr="009A09FD" w:rsidR="009C0D4F">
        <w:rPr>
          <w:szCs w:val="22"/>
        </w:rPr>
        <w:t>,</w:t>
      </w:r>
      <w:r w:rsidRPr="009A09FD">
        <w:rPr>
          <w:szCs w:val="22"/>
        </w:rPr>
        <w:t xml:space="preserve"> or announce </w:t>
      </w:r>
      <w:r w:rsidRPr="009A09FD" w:rsidR="009C0D4F">
        <w:rPr>
          <w:szCs w:val="22"/>
        </w:rPr>
        <w:t xml:space="preserve">or publicly disclose </w:t>
      </w:r>
      <w:r w:rsidRPr="009A09FD">
        <w:rPr>
          <w:szCs w:val="22"/>
        </w:rPr>
        <w:t>any intention to</w:t>
      </w:r>
      <w:r w:rsidRPr="009A09FD" w:rsidR="009C0D4F">
        <w:rPr>
          <w:szCs w:val="22"/>
        </w:rPr>
        <w:t>,</w:t>
      </w:r>
      <w:r w:rsidRPr="009A09FD">
        <w:rPr>
          <w:szCs w:val="22"/>
        </w:rPr>
        <w:t xml:space="preserve"> effect any transaction specified in </w:t>
      </w:r>
      <w:r w:rsidRPr="009A09FD">
        <w:rPr>
          <w:szCs w:val="22"/>
          <w:lang w:eastAsia="zh-CN"/>
        </w:rPr>
        <w:t>(</w:t>
      </w:r>
      <w:r w:rsidRPr="009A09FD" w:rsidR="00793D6B">
        <w:rPr>
          <w:szCs w:val="22"/>
          <w:lang w:eastAsia="zh-CN"/>
        </w:rPr>
        <w:t>A</w:t>
      </w:r>
      <w:r w:rsidRPr="009A09FD">
        <w:rPr>
          <w:szCs w:val="22"/>
          <w:lang w:eastAsia="zh-CN"/>
        </w:rPr>
        <w:t>)</w:t>
      </w:r>
      <w:r w:rsidRPr="009A09FD">
        <w:rPr>
          <w:szCs w:val="22"/>
        </w:rPr>
        <w:t>, (</w:t>
      </w:r>
      <w:r w:rsidRPr="009A09FD" w:rsidR="00793D6B">
        <w:rPr>
          <w:szCs w:val="22"/>
        </w:rPr>
        <w:t>B</w:t>
      </w:r>
      <w:r w:rsidRPr="009A09FD">
        <w:rPr>
          <w:szCs w:val="22"/>
        </w:rPr>
        <w:t>) or (</w:t>
      </w:r>
      <w:r w:rsidRPr="009A09FD" w:rsidR="00793D6B">
        <w:rPr>
          <w:szCs w:val="22"/>
        </w:rPr>
        <w:t>C</w:t>
      </w:r>
      <w:r w:rsidRPr="009A09FD">
        <w:rPr>
          <w:szCs w:val="22"/>
        </w:rPr>
        <w:t>) above, in each case, whether any of the transactions specified in (</w:t>
      </w:r>
      <w:r w:rsidRPr="009A09FD" w:rsidR="00793D6B">
        <w:rPr>
          <w:szCs w:val="22"/>
        </w:rPr>
        <w:t>A</w:t>
      </w:r>
      <w:r w:rsidRPr="009A09FD">
        <w:rPr>
          <w:szCs w:val="22"/>
        </w:rPr>
        <w:t>), (</w:t>
      </w:r>
      <w:r w:rsidRPr="009A09FD" w:rsidR="00793D6B">
        <w:rPr>
          <w:szCs w:val="22"/>
        </w:rPr>
        <w:t>B</w:t>
      </w:r>
      <w:r w:rsidRPr="009A09FD">
        <w:rPr>
          <w:szCs w:val="22"/>
        </w:rPr>
        <w:t>) or (</w:t>
      </w:r>
      <w:r w:rsidRPr="009A09FD" w:rsidR="00793D6B">
        <w:rPr>
          <w:szCs w:val="22"/>
        </w:rPr>
        <w:t>C</w:t>
      </w:r>
      <w:r w:rsidRPr="009A09FD">
        <w:rPr>
          <w:szCs w:val="22"/>
        </w:rPr>
        <w:t xml:space="preserve">) above is to be settled by delivery of Shares or other securities of the Company or in cash or otherwise, and whether or not the transactions will be completed within </w:t>
      </w:r>
      <w:r w:rsidRPr="009A09FD">
        <w:rPr>
          <w:szCs w:val="22"/>
          <w:lang w:eastAsia="zh-CN"/>
        </w:rPr>
        <w:t>the First Six Month Period</w:t>
      </w:r>
      <w:r w:rsidRPr="009A09FD">
        <w:rPr>
          <w:szCs w:val="22"/>
        </w:rPr>
        <w:t>;</w:t>
      </w:r>
      <w:bookmarkEnd w:id="140"/>
      <w:bookmarkEnd w:id="141"/>
    </w:p>
    <w:p w:rsidR="002C727F" w:rsidRPr="009A09FD" w:rsidP="007C58DB" w14:paraId="6468AF1C" w14:textId="4A0AF23F">
      <w:pPr>
        <w:pStyle w:val="Heading4"/>
        <w:rPr>
          <w:color w:val="231F20"/>
          <w:kern w:val="20"/>
          <w:szCs w:val="22"/>
        </w:rPr>
      </w:pPr>
      <w:r w:rsidRPr="009A09FD">
        <w:rPr>
          <w:color w:val="231F20"/>
          <w:kern w:val="20"/>
          <w:szCs w:val="22"/>
        </w:rPr>
        <w:t>it/he/she will not, during the Second Six Month Period, enter into any of the transactions specified in (i)</w:t>
      </w:r>
      <w:r w:rsidRPr="009A09FD" w:rsidR="00793D6B">
        <w:rPr>
          <w:color w:val="231F20"/>
          <w:kern w:val="20"/>
          <w:szCs w:val="22"/>
        </w:rPr>
        <w:t>(A)</w:t>
      </w:r>
      <w:r w:rsidRPr="009A09FD">
        <w:rPr>
          <w:color w:val="231F20"/>
          <w:kern w:val="20"/>
          <w:szCs w:val="22"/>
        </w:rPr>
        <w:t>, (i)</w:t>
      </w:r>
      <w:r w:rsidRPr="009A09FD" w:rsidR="00793D6B">
        <w:rPr>
          <w:color w:val="231F20"/>
          <w:kern w:val="20"/>
          <w:szCs w:val="22"/>
        </w:rPr>
        <w:t>(B)</w:t>
      </w:r>
      <w:r w:rsidRPr="009A09FD">
        <w:rPr>
          <w:color w:val="231F20"/>
          <w:kern w:val="20"/>
          <w:szCs w:val="22"/>
        </w:rPr>
        <w:t xml:space="preserve"> or (i)</w:t>
      </w:r>
      <w:r w:rsidRPr="009A09FD" w:rsidR="00793D6B">
        <w:rPr>
          <w:color w:val="231F20"/>
          <w:kern w:val="20"/>
          <w:szCs w:val="22"/>
        </w:rPr>
        <w:t>(C)</w:t>
      </w:r>
      <w:r w:rsidRPr="009A09FD">
        <w:rPr>
          <w:color w:val="231F20"/>
          <w:kern w:val="20"/>
          <w:szCs w:val="22"/>
        </w:rPr>
        <w:t xml:space="preserve"> above or offer or agree </w:t>
      </w:r>
      <w:r w:rsidRPr="009A09FD" w:rsidR="00761327">
        <w:rPr>
          <w:color w:val="231F20"/>
          <w:kern w:val="20"/>
          <w:szCs w:val="22"/>
        </w:rPr>
        <w:t xml:space="preserve">or </w:t>
      </w:r>
      <w:r w:rsidRPr="009A09FD">
        <w:rPr>
          <w:color w:val="231F20"/>
          <w:kern w:val="20"/>
          <w:szCs w:val="22"/>
        </w:rPr>
        <w:t>contract to</w:t>
      </w:r>
      <w:r w:rsidRPr="009A09FD" w:rsidR="00761327">
        <w:rPr>
          <w:color w:val="231F20"/>
          <w:kern w:val="20"/>
          <w:szCs w:val="22"/>
        </w:rPr>
        <w:t>,</w:t>
      </w:r>
      <w:r w:rsidRPr="009A09FD">
        <w:rPr>
          <w:color w:val="231F20"/>
          <w:kern w:val="20"/>
          <w:szCs w:val="22"/>
        </w:rPr>
        <w:t xml:space="preserve"> or announce </w:t>
      </w:r>
      <w:r w:rsidRPr="009A09FD" w:rsidR="00761327">
        <w:rPr>
          <w:color w:val="231F20"/>
          <w:kern w:val="20"/>
          <w:szCs w:val="22"/>
        </w:rPr>
        <w:t xml:space="preserve">or publicly disclose </w:t>
      </w:r>
      <w:r w:rsidRPr="009A09FD">
        <w:rPr>
          <w:color w:val="231F20"/>
          <w:kern w:val="20"/>
          <w:szCs w:val="22"/>
        </w:rPr>
        <w:t>any intention to</w:t>
      </w:r>
      <w:r w:rsidRPr="009A09FD" w:rsidR="00761327">
        <w:rPr>
          <w:color w:val="231F20"/>
          <w:kern w:val="20"/>
          <w:szCs w:val="22"/>
        </w:rPr>
        <w:t>,</w:t>
      </w:r>
      <w:r w:rsidRPr="009A09FD">
        <w:rPr>
          <w:color w:val="231F20"/>
          <w:kern w:val="20"/>
          <w:szCs w:val="22"/>
        </w:rPr>
        <w:t xml:space="preserve"> effect any such transaction if, immediately following any such transaction, it will cease to be a </w:t>
      </w:r>
      <w:r w:rsidRPr="009A09FD" w:rsidR="00807634">
        <w:rPr>
          <w:color w:val="231F20"/>
          <w:kern w:val="20"/>
          <w:szCs w:val="22"/>
        </w:rPr>
        <w:t>“Controlling Shareholder” (as defined in the Listing Rules)</w:t>
      </w:r>
      <w:r w:rsidRPr="009A09FD">
        <w:rPr>
          <w:color w:val="231F20"/>
          <w:kern w:val="20"/>
          <w:szCs w:val="22"/>
        </w:rPr>
        <w:t xml:space="preserve"> of the Company or a member of a group of the </w:t>
      </w:r>
      <w:r w:rsidRPr="009A09FD" w:rsidR="00807634">
        <w:rPr>
          <w:color w:val="231F20"/>
          <w:kern w:val="20"/>
          <w:szCs w:val="22"/>
        </w:rPr>
        <w:t>Controlling Shareholders</w:t>
      </w:r>
      <w:r w:rsidRPr="009A09FD" w:rsidR="0077744D">
        <w:rPr>
          <w:color w:val="231F20"/>
          <w:kern w:val="20"/>
          <w:szCs w:val="22"/>
        </w:rPr>
        <w:t xml:space="preserve"> </w:t>
      </w:r>
      <w:r w:rsidRPr="009A09FD">
        <w:rPr>
          <w:color w:val="231F20"/>
          <w:kern w:val="20"/>
          <w:szCs w:val="22"/>
        </w:rPr>
        <w:t xml:space="preserve">of the Company or would together with the other </w:t>
      </w:r>
      <w:r w:rsidRPr="009A09FD" w:rsidR="00684871">
        <w:rPr>
          <w:snapToGrid w:val="0"/>
        </w:rPr>
        <w:t xml:space="preserve">Warranting </w:t>
      </w:r>
      <w:r w:rsidRPr="009A09FD">
        <w:rPr>
          <w:color w:val="231F20"/>
          <w:kern w:val="20"/>
          <w:szCs w:val="22"/>
        </w:rPr>
        <w:t>Shareholders cease to be Controlling Shareholders of the Company; and</w:t>
      </w:r>
    </w:p>
    <w:p w:rsidR="007C58DB" w:rsidRPr="009A09FD" w:rsidP="007C58DB" w14:paraId="1CE92C76" w14:textId="181A37E6">
      <w:pPr>
        <w:pStyle w:val="Heading4"/>
        <w:rPr>
          <w:color w:val="231F20"/>
          <w:kern w:val="20"/>
          <w:szCs w:val="22"/>
        </w:rPr>
      </w:pPr>
      <w:r w:rsidRPr="009A09FD">
        <w:rPr>
          <w:color w:val="231F20"/>
          <w:kern w:val="20"/>
          <w:szCs w:val="22"/>
        </w:rPr>
        <w:t xml:space="preserve">until the expiry of the Second Six Month Period, in the event that it enters into any of the transactions specified in </w:t>
      </w:r>
      <w:r w:rsidRPr="009A09FD" w:rsidR="00793D6B">
        <w:rPr>
          <w:color w:val="231F20"/>
          <w:kern w:val="20"/>
          <w:szCs w:val="22"/>
        </w:rPr>
        <w:t xml:space="preserve">(i)(A), (i)(B) or (i)(C) </w:t>
      </w:r>
      <w:r w:rsidRPr="009A09FD">
        <w:rPr>
          <w:color w:val="231F20"/>
          <w:kern w:val="20"/>
          <w:szCs w:val="22"/>
        </w:rPr>
        <w:t xml:space="preserve">or </w:t>
      </w:r>
      <w:r w:rsidRPr="009A09FD" w:rsidR="00347031">
        <w:rPr>
          <w:color w:val="231F20"/>
          <w:kern w:val="20"/>
          <w:szCs w:val="22"/>
        </w:rPr>
        <w:t xml:space="preserve">offers </w:t>
      </w:r>
      <w:r w:rsidRPr="009A09FD">
        <w:rPr>
          <w:color w:val="231F20"/>
          <w:kern w:val="20"/>
          <w:szCs w:val="22"/>
        </w:rPr>
        <w:t xml:space="preserve">or agrees or </w:t>
      </w:r>
      <w:r w:rsidRPr="009A09FD" w:rsidR="00347031">
        <w:rPr>
          <w:color w:val="231F20"/>
          <w:kern w:val="20"/>
          <w:szCs w:val="22"/>
        </w:rPr>
        <w:t xml:space="preserve">contracts </w:t>
      </w:r>
      <w:r w:rsidRPr="009A09FD">
        <w:rPr>
          <w:color w:val="231F20"/>
          <w:kern w:val="20"/>
          <w:szCs w:val="22"/>
        </w:rPr>
        <w:t>to</w:t>
      </w:r>
      <w:r w:rsidRPr="009A09FD" w:rsidR="00347031">
        <w:rPr>
          <w:color w:val="231F20"/>
          <w:kern w:val="20"/>
          <w:szCs w:val="22"/>
        </w:rPr>
        <w:t>,</w:t>
      </w:r>
      <w:r w:rsidRPr="009A09FD">
        <w:rPr>
          <w:color w:val="231F20"/>
          <w:kern w:val="20"/>
          <w:szCs w:val="22"/>
        </w:rPr>
        <w:t xml:space="preserve"> or </w:t>
      </w:r>
      <w:r w:rsidRPr="009A09FD" w:rsidR="00347031">
        <w:rPr>
          <w:color w:val="231F20"/>
          <w:kern w:val="20"/>
          <w:szCs w:val="22"/>
        </w:rPr>
        <w:t xml:space="preserve">announces or publicly discloses </w:t>
      </w:r>
      <w:r w:rsidRPr="009A09FD">
        <w:rPr>
          <w:color w:val="231F20"/>
          <w:kern w:val="20"/>
          <w:szCs w:val="22"/>
        </w:rPr>
        <w:t>any intention to</w:t>
      </w:r>
      <w:r w:rsidRPr="009A09FD" w:rsidR="00347031">
        <w:rPr>
          <w:color w:val="231F20"/>
          <w:kern w:val="20"/>
          <w:szCs w:val="22"/>
        </w:rPr>
        <w:t>,</w:t>
      </w:r>
      <w:r w:rsidRPr="009A09FD">
        <w:rPr>
          <w:color w:val="231F20"/>
          <w:kern w:val="20"/>
          <w:szCs w:val="22"/>
        </w:rPr>
        <w:t xml:space="preserve"> effect any such transaction, it/he/she will take all reasonable steps to ensure that such a </w:t>
      </w:r>
      <w:r w:rsidRPr="009A09FD" w:rsidR="004337D6">
        <w:rPr>
          <w:color w:val="231F20"/>
          <w:kern w:val="20"/>
          <w:szCs w:val="22"/>
        </w:rPr>
        <w:t xml:space="preserve">transaction </w:t>
      </w:r>
      <w:r w:rsidRPr="009A09FD">
        <w:rPr>
          <w:color w:val="231F20"/>
          <w:kern w:val="20"/>
          <w:szCs w:val="22"/>
        </w:rPr>
        <w:t>will not create a disorderly or false market in the securities of the Company.</w:t>
      </w:r>
    </w:p>
    <w:p w:rsidR="007C58DB" w:rsidRPr="009A09FD" w:rsidP="007C58DB" w14:paraId="0EC24413" w14:textId="2FAA6F15">
      <w:pPr>
        <w:pStyle w:val="BodyText1"/>
        <w:ind w:left="1440"/>
        <w:rPr>
          <w:kern w:val="20"/>
          <w:szCs w:val="22"/>
        </w:rPr>
      </w:pPr>
      <w:r w:rsidRPr="009A09FD">
        <w:rPr>
          <w:kern w:val="20"/>
          <w:szCs w:val="22"/>
        </w:rPr>
        <w:t xml:space="preserve">The restrictions in this </w:t>
      </w:r>
      <w:r w:rsidRPr="009A09FD" w:rsidR="006E45FF">
        <w:rPr>
          <w:kern w:val="20"/>
          <w:szCs w:val="22"/>
        </w:rPr>
        <w:t>clause (e)</w:t>
      </w:r>
      <w:r w:rsidRPr="009A09FD">
        <w:rPr>
          <w:kern w:val="20"/>
          <w:szCs w:val="22"/>
        </w:rPr>
        <w:t xml:space="preserve"> shall not prevent the </w:t>
      </w:r>
      <w:r w:rsidRPr="009A09FD" w:rsidR="00684871">
        <w:rPr>
          <w:kern w:val="20"/>
          <w:szCs w:val="22"/>
        </w:rPr>
        <w:t>Warranting</w:t>
      </w:r>
      <w:r w:rsidRPr="009A09FD">
        <w:rPr>
          <w:kern w:val="20"/>
          <w:szCs w:val="22"/>
        </w:rPr>
        <w:t xml:space="preserve"> Shareholders from (i) purchasing additional Shares or other securities of the Company and disposing of such additional Shares or securities of the Company in accordance with the Listing Rules,</w:t>
      </w:r>
      <w:r w:rsidRPr="009A09FD" w:rsidR="00B55F72">
        <w:rPr>
          <w:kern w:val="20"/>
          <w:szCs w:val="22"/>
        </w:rPr>
        <w:t xml:space="preserve"> provided that any such purchases do not contravene the lock-up arrangements referred to in </w:t>
      </w:r>
      <w:r w:rsidRPr="009A09FD" w:rsidR="00AC5D07">
        <w:rPr>
          <w:kern w:val="20"/>
          <w:szCs w:val="22"/>
        </w:rPr>
        <w:t>[*]</w:t>
      </w:r>
      <w:r w:rsidRPr="009A09FD" w:rsidR="00B55F72">
        <w:rPr>
          <w:kern w:val="20"/>
          <w:szCs w:val="22"/>
        </w:rPr>
        <w:t xml:space="preserve"> or compliance by the Company with the </w:t>
      </w:r>
      <w:r w:rsidRPr="009A09FD" w:rsidR="00B55F72">
        <w:rPr>
          <w:snapToGrid w:val="0"/>
        </w:rPr>
        <w:t xml:space="preserve">minimum public float requirements specified in the Listing Rules </w:t>
      </w:r>
      <w:r w:rsidRPr="009A09FD">
        <w:rPr>
          <w:kern w:val="20"/>
          <w:szCs w:val="22"/>
        </w:rPr>
        <w:t xml:space="preserve">and (ii) using the Shares or other securities of the Company or any interest therein beneficially owned by them as security (including a charge or a pledge) in favor of an authorized institution (as defined in the Banking Ordinance (Chapter 155 of the Laws of Hong Kong)) for a bona fide commercial loan, provided that (a) the relevant </w:t>
      </w:r>
      <w:r w:rsidRPr="009A09FD" w:rsidR="00684871">
        <w:rPr>
          <w:kern w:val="20"/>
          <w:szCs w:val="22"/>
        </w:rPr>
        <w:t>Warranting</w:t>
      </w:r>
      <w:r w:rsidRPr="009A09FD">
        <w:rPr>
          <w:kern w:val="20"/>
          <w:szCs w:val="22"/>
        </w:rPr>
        <w:t xml:space="preserve"> Shareholder will immediately inform the Company and the Overall Coordinators in writing of such pledge or charge together with the number of Shares or other securities of the Company so pledged or charged if and when it/he/she or the relevant registered holder(s) pledges or charges any Shares or other securities of the Company beneficially owned by it/him/her, and (b) when the relevant </w:t>
      </w:r>
      <w:r w:rsidRPr="009A09FD" w:rsidR="00684871">
        <w:rPr>
          <w:kern w:val="20"/>
          <w:szCs w:val="22"/>
        </w:rPr>
        <w:t>Warranting</w:t>
      </w:r>
      <w:r w:rsidRPr="009A09FD">
        <w:rPr>
          <w:kern w:val="20"/>
          <w:szCs w:val="22"/>
        </w:rPr>
        <w:t xml:space="preserve"> Shareholder receives indications, either verbal or written, from the pledgee or chargee of any Shares that any of the pledged or charged Shares or other securities of the Company will be disposed of, it/he/she will immediately inform the Company and the Overall Coordinators of such indications.</w:t>
      </w:r>
    </w:p>
    <w:p w:rsidR="006E45FF" w:rsidRPr="009A09FD" w:rsidP="00C90B60" w14:paraId="778FC327" w14:textId="7B05D4DB">
      <w:pPr>
        <w:pStyle w:val="BodyText1"/>
        <w:ind w:left="1440"/>
        <w:rPr>
          <w:kern w:val="20"/>
          <w:szCs w:val="22"/>
        </w:rPr>
      </w:pPr>
      <w:r w:rsidRPr="009A09FD">
        <w:rPr>
          <w:kern w:val="20"/>
          <w:szCs w:val="22"/>
        </w:rPr>
        <w:t>The Company hereby undertakes to the Joint Sponsors, the Sponsor-OCs, the Overall Coordinators, the Joint Global Coordinators, the Joint Bookrunners, the Joint Lead Managers</w:t>
      </w:r>
      <w:r w:rsidRPr="009A09FD" w:rsidR="00F26112">
        <w:rPr>
          <w:snapToGrid w:val="0"/>
        </w:rPr>
        <w:t>, the CMIs</w:t>
      </w:r>
      <w:r w:rsidRPr="009A09FD">
        <w:rPr>
          <w:kern w:val="20"/>
          <w:szCs w:val="22"/>
        </w:rPr>
        <w:t xml:space="preserve"> and the International Underwriters that upon receiving such information in writing from the </w:t>
      </w:r>
      <w:r w:rsidRPr="009A09FD" w:rsidR="000C7C43">
        <w:rPr>
          <w:kern w:val="20"/>
          <w:szCs w:val="22"/>
        </w:rPr>
        <w:t>Warranting</w:t>
      </w:r>
      <w:r w:rsidRPr="009A09FD">
        <w:rPr>
          <w:kern w:val="20"/>
          <w:szCs w:val="22"/>
        </w:rPr>
        <w:t xml:space="preserve"> Shareholders, it will, as soon as practicable and if required pursuant to the Listing Rules, the SFO and/or any other applicable Law, notify the Stock Exchange and/or other relevant Authorities, and make a public disclosure in relation to such information by way of an announcement.</w:t>
      </w:r>
      <w:r w:rsidRPr="009A09FD" w:rsidR="004A2E36">
        <w:rPr>
          <w:kern w:val="20"/>
          <w:szCs w:val="22"/>
        </w:rPr>
        <w:t>]</w:t>
      </w:r>
      <w:r>
        <w:rPr>
          <w:rStyle w:val="FootnoteReference"/>
          <w:kern w:val="20"/>
          <w:szCs w:val="22"/>
        </w:rPr>
        <w:footnoteReference w:id="22"/>
      </w:r>
    </w:p>
    <w:p w:rsidR="001C5107" w:rsidRPr="009A09FD" w:rsidP="003C6CDA" w14:paraId="2E00E2AF" w14:textId="42CAFDB1">
      <w:pPr>
        <w:pStyle w:val="Heading3"/>
        <w:rPr>
          <w:snapToGrid w:val="0"/>
        </w:rPr>
      </w:pPr>
      <w:r w:rsidRPr="009A09FD">
        <w:rPr>
          <w:snapToGrid w:val="0"/>
        </w:rPr>
        <w:t xml:space="preserve">to advise the </w:t>
      </w:r>
      <w:r w:rsidRPr="009A09FD" w:rsidR="00052E58">
        <w:rPr>
          <w:snapToGrid w:val="0"/>
        </w:rPr>
        <w:t>Overall Coordinators</w:t>
      </w:r>
      <w:r w:rsidRPr="009A09FD" w:rsidR="003321C7">
        <w:rPr>
          <w:snapToGrid w:val="0"/>
        </w:rPr>
        <w:t xml:space="preserve"> and the Joint Global Coordinators</w:t>
      </w:r>
      <w:r w:rsidRPr="009A09FD" w:rsidR="00052E58">
        <w:rPr>
          <w:snapToGrid w:val="0"/>
        </w:rPr>
        <w:t xml:space="preserve"> </w:t>
      </w:r>
      <w:r w:rsidRPr="009A09FD">
        <w:rPr>
          <w:snapToGrid w:val="0"/>
        </w:rPr>
        <w:t>(acting on their own behalf and on behalf of the International Underwriters)</w:t>
      </w:r>
      <w:r w:rsidRPr="009A09FD">
        <w:rPr>
          <w:rFonts w:hint="eastAsia"/>
          <w:snapToGrid w:val="0"/>
        </w:rPr>
        <w:t xml:space="preserve"> </w:t>
      </w:r>
      <w:r w:rsidRPr="009A09FD">
        <w:rPr>
          <w:snapToGrid w:val="0"/>
        </w:rPr>
        <w:t xml:space="preserve">promptly if at any time prior to the later of the Option Expiration Date and the date on which the </w:t>
      </w:r>
      <w:r w:rsidRPr="009A09FD" w:rsidR="00F00482">
        <w:rPr>
          <w:snapToGrid w:val="0"/>
        </w:rPr>
        <w:t xml:space="preserve">Overall Coordinators or the Joint Global Coordinators notify the Company that the </w:t>
      </w:r>
      <w:r w:rsidRPr="009A09FD">
        <w:rPr>
          <w:snapToGrid w:val="0"/>
        </w:rPr>
        <w:t>distribution of the Offer Shares is complete,</w:t>
      </w:r>
      <w:r w:rsidRPr="009A09FD">
        <w:rPr>
          <w:rFonts w:hint="eastAsia"/>
          <w:snapToGrid w:val="0"/>
        </w:rPr>
        <w:t xml:space="preserve"> (i) </w:t>
      </w:r>
      <w:r w:rsidRPr="009A09FD">
        <w:rPr>
          <w:snapToGrid w:val="0"/>
        </w:rPr>
        <w:t xml:space="preserve">any event shall occur or any circumstance shall exist which renders or could render untrue or inaccurate or misleading in any respect any of the representations and warranties and other statements of the </w:t>
      </w:r>
      <w:r w:rsidRPr="009A09FD">
        <w:rPr>
          <w:rFonts w:hint="eastAsia"/>
          <w:snapToGrid w:val="0"/>
        </w:rPr>
        <w:t>Warrantors</w:t>
      </w:r>
      <w:r w:rsidRPr="009A09FD">
        <w:rPr>
          <w:snapToGrid w:val="0"/>
        </w:rPr>
        <w:t xml:space="preserve"> herein</w:t>
      </w:r>
      <w:r w:rsidRPr="009A09FD">
        <w:rPr>
          <w:rFonts w:hint="eastAsia"/>
          <w:snapToGrid w:val="0"/>
        </w:rPr>
        <w:t xml:space="preserve"> </w:t>
      </w:r>
      <w:r w:rsidRPr="009A09FD" w:rsidR="00F57D17">
        <w:rPr>
          <w:snapToGrid w:val="0"/>
        </w:rPr>
        <w:t xml:space="preserve">or gives rise or could give rise to a claim under any of the indemnities contained in or given pursuant to this Agreement or the Hong Kong Underwriting Agreement </w:t>
      </w:r>
      <w:r w:rsidRPr="009A09FD">
        <w:rPr>
          <w:rFonts w:hint="eastAsia"/>
          <w:snapToGrid w:val="0"/>
        </w:rPr>
        <w:t xml:space="preserve">or (ii) </w:t>
      </w:r>
      <w:r w:rsidRPr="009A09FD">
        <w:rPr>
          <w:snapToGrid w:val="0"/>
        </w:rPr>
        <w:t xml:space="preserve">any event shall occur or any circumstance shall exist as a result of which it is necessary to amend or supplement the Disclosure Package or the </w:t>
      </w:r>
      <w:r w:rsidRPr="009A09FD" w:rsidR="005F428E">
        <w:rPr>
          <w:snapToGrid w:val="0"/>
        </w:rPr>
        <w:t>Offering Circular</w:t>
      </w:r>
      <w:r w:rsidRPr="009A09FD">
        <w:rPr>
          <w:snapToGrid w:val="0"/>
        </w:rPr>
        <w:t xml:space="preserve"> so that the Disclosure Package or the </w:t>
      </w:r>
      <w:r w:rsidRPr="009A09FD" w:rsidR="005F428E">
        <w:rPr>
          <w:snapToGrid w:val="0"/>
        </w:rPr>
        <w:t>Offering Circular</w:t>
      </w:r>
      <w:r w:rsidRPr="009A09FD">
        <w:rPr>
          <w:snapToGrid w:val="0"/>
        </w:rPr>
        <w:t xml:space="preserve">, or </w:t>
      </w:r>
      <w:r w:rsidRPr="009A09FD" w:rsidR="004E0277">
        <w:rPr>
          <w:snapToGrid w:val="0"/>
        </w:rPr>
        <w:t xml:space="preserve">any amendment or supplement thereto or </w:t>
      </w:r>
      <w:r w:rsidRPr="009A09FD">
        <w:rPr>
          <w:snapToGrid w:val="0"/>
        </w:rPr>
        <w:t xml:space="preserve">any individual Supplemental Offering Material when considered together with the Disclosure Package or the </w:t>
      </w:r>
      <w:r w:rsidRPr="009A09FD" w:rsidR="005F428E">
        <w:rPr>
          <w:snapToGrid w:val="0"/>
        </w:rPr>
        <w:t>Offering Circular</w:t>
      </w:r>
      <w:r w:rsidRPr="009A09FD">
        <w:rPr>
          <w:snapToGrid w:val="0"/>
        </w:rPr>
        <w:t>, would not include any untrue statement of a material fact or omit to state any material fact necessary in order to make the statements therein, in the light of the circumstances under which they were made, not misleading</w:t>
      </w:r>
      <w:r w:rsidRPr="009A09FD">
        <w:rPr>
          <w:rFonts w:hint="eastAsia"/>
          <w:snapToGrid w:val="0"/>
        </w:rPr>
        <w:t>;</w:t>
      </w:r>
    </w:p>
    <w:p w:rsidR="001C5107" w:rsidRPr="009A09FD" w:rsidP="003C6CDA" w14:paraId="73052DC9" w14:textId="0829EC22">
      <w:pPr>
        <w:pStyle w:val="Heading3"/>
        <w:rPr>
          <w:snapToGrid w:val="0"/>
        </w:rPr>
      </w:pPr>
      <w:r w:rsidRPr="009A09FD">
        <w:rPr>
          <w:snapToGrid w:val="0"/>
        </w:rPr>
        <w:t xml:space="preserve">save for the appointment of the Stabilizing Manager of the Global Offering, </w:t>
      </w:r>
      <w:r w:rsidRPr="009A09FD" w:rsidR="0045566B">
        <w:rPr>
          <w:snapToGrid w:val="0"/>
        </w:rPr>
        <w:t xml:space="preserve">until the </w:t>
      </w:r>
      <w:r w:rsidRPr="009A09FD" w:rsidR="004A3611">
        <w:rPr>
          <w:snapToGrid w:val="0"/>
        </w:rPr>
        <w:t>Overall Coordinators</w:t>
      </w:r>
      <w:r w:rsidRPr="009A09FD" w:rsidR="003321C7">
        <w:rPr>
          <w:snapToGrid w:val="0"/>
        </w:rPr>
        <w:t xml:space="preserve"> and the Joint Global Coordinators</w:t>
      </w:r>
      <w:r w:rsidRPr="009A09FD" w:rsidR="0045566B">
        <w:rPr>
          <w:snapToGrid w:val="0"/>
        </w:rPr>
        <w:t xml:space="preserve"> have notified the Company of the completion of the distribution of the Offer Shares, not to, and to </w:t>
      </w:r>
      <w:r w:rsidRPr="009A09FD" w:rsidR="00D73BB2">
        <w:rPr>
          <w:snapToGrid w:val="0"/>
        </w:rPr>
        <w:t>procure</w:t>
      </w:r>
      <w:r w:rsidRPr="009A09FD" w:rsidR="00D73BB2">
        <w:rPr>
          <w:rFonts w:hint="eastAsia"/>
          <w:snapToGrid w:val="0"/>
        </w:rPr>
        <w:t xml:space="preserve"> </w:t>
      </w:r>
      <w:r w:rsidRPr="009A09FD" w:rsidR="00BE5BB7">
        <w:rPr>
          <w:snapToGrid w:val="0"/>
        </w:rPr>
        <w:t>its/his/her</w:t>
      </w:r>
      <w:r w:rsidRPr="009A09FD" w:rsidR="00BE5BB7">
        <w:rPr>
          <w:rFonts w:hint="eastAsia"/>
          <w:snapToGrid w:val="0"/>
        </w:rPr>
        <w:t xml:space="preserve"> </w:t>
      </w:r>
      <w:r w:rsidRPr="009A09FD" w:rsidR="0045566B">
        <w:rPr>
          <w:snapToGrid w:val="0"/>
        </w:rPr>
        <w:t>Affiliates</w:t>
      </w:r>
      <w:r w:rsidRPr="009A09FD" w:rsidR="0045566B">
        <w:rPr>
          <w:rFonts w:hint="eastAsia"/>
          <w:snapToGrid w:val="0"/>
        </w:rPr>
        <w:t>, agents</w:t>
      </w:r>
      <w:r w:rsidRPr="009A09FD" w:rsidR="0045566B">
        <w:rPr>
          <w:snapToGrid w:val="0"/>
        </w:rPr>
        <w:t xml:space="preserve"> or any person acting on </w:t>
      </w:r>
      <w:r w:rsidRPr="009A09FD" w:rsidR="00BE5BB7">
        <w:rPr>
          <w:snapToGrid w:val="0"/>
        </w:rPr>
        <w:t>its/his/her</w:t>
      </w:r>
      <w:r w:rsidRPr="009A09FD" w:rsidR="00BE5BB7">
        <w:rPr>
          <w:rFonts w:hint="eastAsia"/>
          <w:snapToGrid w:val="0"/>
        </w:rPr>
        <w:t xml:space="preserve"> </w:t>
      </w:r>
      <w:r w:rsidRPr="009A09FD" w:rsidR="0045566B">
        <w:rPr>
          <w:snapToGrid w:val="0"/>
        </w:rPr>
        <w:t>behalf not to, either alone or with one or more other persons, engage in, directly or indirectly, any act or course of conduct (A) that creates a false or misleading impression as to the market in or the value of the Shares and any associated securities, or (B) the purpose of which is to create actual or apparent active trading in, or to raise the price of, the Shares;</w:t>
      </w:r>
    </w:p>
    <w:p w:rsidR="001C5107" w:rsidRPr="009A09FD" w:rsidP="003C6CDA" w14:paraId="28BA6C89" w14:textId="0074F08B">
      <w:pPr>
        <w:pStyle w:val="Heading3"/>
        <w:rPr>
          <w:snapToGrid w:val="0"/>
        </w:rPr>
      </w:pPr>
      <w:r w:rsidRPr="009A09FD">
        <w:rPr>
          <w:snapToGrid w:val="0"/>
        </w:rPr>
        <w:t xml:space="preserve">save for the appointment of the Stabilizing Manager of the Global Offering, </w:t>
      </w:r>
      <w:r w:rsidRPr="009A09FD" w:rsidR="0045566B">
        <w:rPr>
          <w:snapToGrid w:val="0"/>
        </w:rPr>
        <w:t xml:space="preserve">not to, and to </w:t>
      </w:r>
      <w:r w:rsidRPr="009A09FD" w:rsidR="00E41CAA">
        <w:rPr>
          <w:snapToGrid w:val="0"/>
        </w:rPr>
        <w:t>procure</w:t>
      </w:r>
      <w:r w:rsidRPr="009A09FD" w:rsidR="0045566B">
        <w:rPr>
          <w:snapToGrid w:val="0"/>
        </w:rPr>
        <w:t xml:space="preserve"> </w:t>
      </w:r>
      <w:r w:rsidRPr="009A09FD" w:rsidR="00BE5BB7">
        <w:rPr>
          <w:snapToGrid w:val="0"/>
        </w:rPr>
        <w:t>its/his/her</w:t>
      </w:r>
      <w:r w:rsidRPr="009A09FD" w:rsidR="00BE5BB7">
        <w:rPr>
          <w:rFonts w:hint="eastAsia"/>
          <w:snapToGrid w:val="0"/>
        </w:rPr>
        <w:t xml:space="preserve"> </w:t>
      </w:r>
      <w:r w:rsidRPr="009A09FD" w:rsidR="0045566B">
        <w:rPr>
          <w:snapToGrid w:val="0"/>
        </w:rPr>
        <w:t>Affiliates</w:t>
      </w:r>
      <w:r w:rsidRPr="009A09FD" w:rsidR="0045566B">
        <w:rPr>
          <w:rFonts w:hint="eastAsia"/>
          <w:snapToGrid w:val="0"/>
        </w:rPr>
        <w:t>, agents</w:t>
      </w:r>
      <w:r w:rsidRPr="009A09FD" w:rsidR="0045566B">
        <w:rPr>
          <w:snapToGrid w:val="0"/>
        </w:rPr>
        <w:t xml:space="preserve"> or any person acting on </w:t>
      </w:r>
      <w:r w:rsidRPr="009A09FD" w:rsidR="00BE5BB7">
        <w:rPr>
          <w:snapToGrid w:val="0"/>
        </w:rPr>
        <w:t>its/his/her</w:t>
      </w:r>
      <w:r w:rsidRPr="009A09FD" w:rsidR="00BE5BB7">
        <w:rPr>
          <w:rFonts w:hint="eastAsia"/>
          <w:snapToGrid w:val="0"/>
        </w:rPr>
        <w:t xml:space="preserve"> </w:t>
      </w:r>
      <w:r w:rsidRPr="009A09FD" w:rsidR="0045566B">
        <w:rPr>
          <w:snapToGrid w:val="0"/>
        </w:rPr>
        <w:t xml:space="preserve">behalf not to, (A) take or facilitate, directly or indirectly, any action which is designed to or which </w:t>
      </w:r>
      <w:r w:rsidRPr="009A09FD" w:rsidR="0077585A">
        <w:rPr>
          <w:snapToGrid w:val="0"/>
        </w:rPr>
        <w:t xml:space="preserve">constitutes </w:t>
      </w:r>
      <w:r w:rsidRPr="009A09FD" w:rsidR="0045566B">
        <w:rPr>
          <w:snapToGrid w:val="0"/>
        </w:rPr>
        <w:t xml:space="preserve">or which might reasonably be expected to cause or result in stabilization or manipulation of the price of any security of the Company to facilitate the sale or resale of any security of the Company or otherwise, (B) take, directly or indirectly, any action </w:t>
      </w:r>
      <w:r w:rsidRPr="009A09FD" w:rsidR="003422B8">
        <w:rPr>
          <w:snapToGrid w:val="0"/>
        </w:rPr>
        <w:t xml:space="preserve">which </w:t>
      </w:r>
      <w:r w:rsidRPr="009A09FD" w:rsidR="00722913">
        <w:rPr>
          <w:snapToGrid w:val="0"/>
        </w:rPr>
        <w:t xml:space="preserve">would </w:t>
      </w:r>
      <w:r w:rsidRPr="009A09FD" w:rsidR="00341FF8">
        <w:rPr>
          <w:snapToGrid w:val="0"/>
        </w:rPr>
        <w:t xml:space="preserve">constitute </w:t>
      </w:r>
      <w:r w:rsidRPr="009A09FD" w:rsidR="00722913">
        <w:rPr>
          <w:snapToGrid w:val="0"/>
        </w:rPr>
        <w:t>a violation of the</w:t>
      </w:r>
      <w:r w:rsidRPr="009A09FD" w:rsidR="0045566B">
        <w:rPr>
          <w:snapToGrid w:val="0"/>
        </w:rPr>
        <w:t xml:space="preserve"> market misconduct provisions of Parts XIII and XIV of the SFO, (C) take or omit to take, directly or indirectly, any action which may result in the loss by any of </w:t>
      </w:r>
      <w:r w:rsidRPr="009A09FD" w:rsidR="00C55EF3">
        <w:rPr>
          <w:snapToGrid w:val="0"/>
        </w:rPr>
        <w:t>the Joint Sponsors, the Sponsor-OCs, the Overall Coordinators, the Joint Global Coordinators, the Joint Bookrunners, the Joint Lead Managers</w:t>
      </w:r>
      <w:r w:rsidRPr="009A09FD" w:rsidR="00162530">
        <w:rPr>
          <w:snapToGrid w:val="0"/>
        </w:rPr>
        <w:t>, the CMIs</w:t>
      </w:r>
      <w:r w:rsidRPr="009A09FD" w:rsidR="00C55EF3">
        <w:rPr>
          <w:snapToGrid w:val="0"/>
        </w:rPr>
        <w:t xml:space="preserve"> or the International Underwriters </w:t>
      </w:r>
      <w:r w:rsidRPr="009A09FD" w:rsidR="0045566B">
        <w:rPr>
          <w:snapToGrid w:val="0"/>
        </w:rPr>
        <w:t>or any person acting for them as stabilizing manager of the ability to rely on any stabilization safe harbor provided by the Securities and Futures (Price Stabilizing) Rules under the SFO or otherwise</w:t>
      </w:r>
      <w:r w:rsidRPr="009A09FD" w:rsidR="00AB113A">
        <w:rPr>
          <w:snapToGrid w:val="0"/>
        </w:rPr>
        <w:t>, or (D) take or omit to take, directly or indirectly, any action (such as issuing any press release relating to any securities without an appropriate legend) in breach of the terms of the Hong Kong Underwriting Agreement or in violation of the Securities and Futures Ordinance of Hong Kong</w:t>
      </w:r>
      <w:r w:rsidRPr="009A09FD" w:rsidR="0045566B">
        <w:rPr>
          <w:snapToGrid w:val="0"/>
        </w:rPr>
        <w:t>;</w:t>
      </w:r>
    </w:p>
    <w:p w:rsidR="001C5107" w:rsidRPr="009A09FD" w:rsidP="003C6CDA" w14:paraId="12E288A2" w14:textId="026A4991">
      <w:pPr>
        <w:pStyle w:val="Heading3"/>
        <w:rPr>
          <w:snapToGrid w:val="0"/>
        </w:rPr>
      </w:pPr>
      <w:r w:rsidRPr="009A09FD">
        <w:rPr>
          <w:snapToGrid w:val="0"/>
        </w:rPr>
        <w:t xml:space="preserve">to do and perform all things required to be done and performed under this Agreement by </w:t>
      </w:r>
      <w:r w:rsidRPr="009A09FD">
        <w:rPr>
          <w:rFonts w:hint="eastAsia"/>
          <w:snapToGrid w:val="0"/>
        </w:rPr>
        <w:t>him</w:t>
      </w:r>
      <w:r w:rsidRPr="009A09FD" w:rsidR="00A600E5">
        <w:rPr>
          <w:snapToGrid w:val="0"/>
        </w:rPr>
        <w:t>/it</w:t>
      </w:r>
      <w:r w:rsidRPr="009A09FD">
        <w:rPr>
          <w:rFonts w:hint="eastAsia"/>
          <w:snapToGrid w:val="0"/>
        </w:rPr>
        <w:t xml:space="preserve"> </w:t>
      </w:r>
      <w:r w:rsidRPr="009A09FD">
        <w:rPr>
          <w:snapToGrid w:val="0"/>
        </w:rPr>
        <w:t xml:space="preserve">prior to or after each Time of Delivery and to satisfy all conditions precedent on </w:t>
      </w:r>
      <w:r w:rsidRPr="009A09FD" w:rsidR="00492B14">
        <w:rPr>
          <w:snapToGrid w:val="0"/>
        </w:rPr>
        <w:t>its/his/her</w:t>
      </w:r>
      <w:r w:rsidRPr="009A09FD" w:rsidR="00492B14">
        <w:rPr>
          <w:rFonts w:hint="eastAsia"/>
          <w:snapToGrid w:val="0"/>
        </w:rPr>
        <w:t xml:space="preserve"> </w:t>
      </w:r>
      <w:r w:rsidRPr="009A09FD">
        <w:rPr>
          <w:snapToGrid w:val="0"/>
        </w:rPr>
        <w:t>part to the delivery of the International Offer Shares as set forth herein; and</w:t>
      </w:r>
    </w:p>
    <w:p w:rsidR="001C5107" w:rsidRPr="009A09FD" w:rsidP="003C6CDA" w14:paraId="17A05F8F" w14:textId="30342B19">
      <w:pPr>
        <w:pStyle w:val="Heading3"/>
        <w:rPr>
          <w:snapToGrid w:val="0"/>
        </w:rPr>
      </w:pPr>
      <w:r w:rsidRPr="009A09FD">
        <w:t>to</w:t>
      </w:r>
      <w:r w:rsidRPr="009A09FD">
        <w:rPr>
          <w:snapToGrid w:val="0"/>
        </w:rPr>
        <w:t xml:space="preserve"> </w:t>
      </w:r>
      <w:r w:rsidRPr="009A09FD" w:rsidR="0045566B">
        <w:rPr>
          <w:snapToGrid w:val="0"/>
        </w:rPr>
        <w:t xml:space="preserve">indemnify and hold each of </w:t>
      </w:r>
      <w:r w:rsidRPr="009A09FD" w:rsidR="004041F3">
        <w:rPr>
          <w:snapToGrid w:val="0"/>
        </w:rPr>
        <w:t xml:space="preserve">the Joint Sponsors, the Sponsor-OCs, </w:t>
      </w:r>
      <w:r w:rsidRPr="009A09FD" w:rsidR="0045566B">
        <w:rPr>
          <w:snapToGrid w:val="0"/>
        </w:rPr>
        <w:t xml:space="preserve">the </w:t>
      </w:r>
      <w:r w:rsidRPr="009A09FD" w:rsidR="00BE4ACC">
        <w:rPr>
          <w:snapToGrid w:val="0"/>
        </w:rPr>
        <w:t>Overall Coordinators</w:t>
      </w:r>
      <w:r w:rsidRPr="009A09FD" w:rsidR="0045566B">
        <w:rPr>
          <w:snapToGrid w:val="0"/>
        </w:rPr>
        <w:t>, the Joint Global Coordinators, the Joint Bookrunners, the Joint Lead Managers</w:t>
      </w:r>
      <w:r w:rsidRPr="009A09FD" w:rsidR="00162530">
        <w:rPr>
          <w:snapToGrid w:val="0"/>
        </w:rPr>
        <w:t>, the CMIs</w:t>
      </w:r>
      <w:r w:rsidRPr="009A09FD" w:rsidR="0045566B">
        <w:rPr>
          <w:snapToGrid w:val="0"/>
        </w:rPr>
        <w:t xml:space="preserve"> and the International Underwriters and their respective Affiliates harmless against any documentary, stamp or similar issuance or transfer Taxes</w:t>
      </w:r>
      <w:r w:rsidRPr="009A09FD" w:rsidR="00ED0020">
        <w:rPr>
          <w:snapToGrid w:val="0"/>
        </w:rPr>
        <w:t>, duties or fees</w:t>
      </w:r>
      <w:r w:rsidRPr="009A09FD" w:rsidR="0045566B">
        <w:rPr>
          <w:snapToGrid w:val="0"/>
        </w:rPr>
        <w:t xml:space="preserve"> and any transaction levies, commissions or brokerage charges, including, without limitation, any interest and penalties, payable in Hong Kong, the PRC or any other jurisdiction </w:t>
      </w:r>
      <w:r w:rsidRPr="009A09FD" w:rsidR="00ED0020">
        <w:rPr>
          <w:snapToGrid w:val="0"/>
        </w:rPr>
        <w:t xml:space="preserve">in </w:t>
      </w:r>
      <w:r w:rsidRPr="009A09FD" w:rsidR="0045566B">
        <w:rPr>
          <w:snapToGrid w:val="0"/>
        </w:rPr>
        <w:t xml:space="preserve">which </w:t>
      </w:r>
      <w:r w:rsidRPr="009A09FD" w:rsidR="00ED0020">
        <w:rPr>
          <w:snapToGrid w:val="0"/>
        </w:rPr>
        <w:t xml:space="preserve">it is </w:t>
      </w:r>
      <w:r w:rsidRPr="009A09FD" w:rsidR="0045566B">
        <w:rPr>
          <w:snapToGrid w:val="0"/>
        </w:rPr>
        <w:t xml:space="preserve">or may be required to be paid in connection with the creation, allotment, issuance, offer </w:t>
      </w:r>
      <w:r w:rsidRPr="009A09FD" w:rsidR="00B93984">
        <w:rPr>
          <w:snapToGrid w:val="0"/>
        </w:rPr>
        <w:t xml:space="preserve">or </w:t>
      </w:r>
      <w:r w:rsidRPr="009A09FD" w:rsidR="0045566B">
        <w:rPr>
          <w:snapToGrid w:val="0"/>
        </w:rPr>
        <w:t xml:space="preserve">distribution of the Offer Shares as contemplated in each of the Disclosure Package and the </w:t>
      </w:r>
      <w:r w:rsidRPr="009A09FD" w:rsidR="005F428E">
        <w:rPr>
          <w:snapToGrid w:val="0"/>
        </w:rPr>
        <w:t>Offering Circular</w:t>
      </w:r>
      <w:r w:rsidRPr="009A09FD" w:rsidR="0045566B">
        <w:rPr>
          <w:snapToGrid w:val="0"/>
        </w:rPr>
        <w:t xml:space="preserve"> and the execution and delivery of this Agreement, and, in particular, to indemnify and hold </w:t>
      </w:r>
      <w:r w:rsidRPr="009A09FD" w:rsidR="00FE1BFC">
        <w:rPr>
          <w:snapToGrid w:val="0"/>
        </w:rPr>
        <w:t xml:space="preserve">the Joint Sponsors, the Sponsor-OCs, </w:t>
      </w:r>
      <w:r w:rsidRPr="009A09FD" w:rsidR="0045566B">
        <w:rPr>
          <w:snapToGrid w:val="0"/>
        </w:rPr>
        <w:t xml:space="preserve">the </w:t>
      </w:r>
      <w:r w:rsidRPr="009A09FD" w:rsidR="00830C77">
        <w:rPr>
          <w:snapToGrid w:val="0"/>
        </w:rPr>
        <w:t>Overall Coordinators</w:t>
      </w:r>
      <w:r w:rsidRPr="009A09FD" w:rsidR="0045566B">
        <w:rPr>
          <w:snapToGrid w:val="0"/>
        </w:rPr>
        <w:t>, the Joint Global Coordinators, the Joint Bookrunners, the Joint Lead Managers</w:t>
      </w:r>
      <w:r w:rsidRPr="009A09FD" w:rsidR="00162530">
        <w:rPr>
          <w:snapToGrid w:val="0"/>
        </w:rPr>
        <w:t>, the CMIs</w:t>
      </w:r>
      <w:r w:rsidRPr="009A09FD" w:rsidR="0045566B">
        <w:rPr>
          <w:snapToGrid w:val="0"/>
        </w:rPr>
        <w:t xml:space="preserve"> and the International Underwriters and their respective Affiliates harmless against the Trading Fee</w:t>
      </w:r>
      <w:r w:rsidRPr="009A09FD" w:rsidR="00F32D54">
        <w:rPr>
          <w:snapToGrid w:val="0"/>
        </w:rPr>
        <w:t>,</w:t>
      </w:r>
      <w:r w:rsidRPr="009A09FD" w:rsidR="0045566B">
        <w:rPr>
          <w:snapToGrid w:val="0"/>
        </w:rPr>
        <w:t xml:space="preserve"> </w:t>
      </w:r>
      <w:r w:rsidRPr="009A09FD" w:rsidR="00F32D54">
        <w:rPr>
          <w:snapToGrid w:val="0"/>
        </w:rPr>
        <w:t>the SFC Transaction Levy and the AFRC Transaction Levy</w:t>
      </w:r>
      <w:r w:rsidRPr="009A09FD" w:rsidR="0045566B">
        <w:rPr>
          <w:snapToGrid w:val="0"/>
        </w:rPr>
        <w:t>, if any, which may be required to be paid in connection with the offer and sale of the Offer Shares and</w:t>
      </w:r>
      <w:r w:rsidRPr="009A09FD" w:rsidR="00B93984">
        <w:rPr>
          <w:snapToGrid w:val="0"/>
        </w:rPr>
        <w:t>/or</w:t>
      </w:r>
      <w:r w:rsidRPr="009A09FD" w:rsidR="0045566B">
        <w:rPr>
          <w:snapToGrid w:val="0"/>
        </w:rPr>
        <w:t xml:space="preserve"> the listing of the Shares on the Stock Exchange (except where such International Underwriters purchase Offer Shares for their investment accounts).</w:t>
      </w:r>
    </w:p>
    <w:p w:rsidR="001C5107" w:rsidRPr="009A09FD" w:rsidP="009330E6" w14:paraId="7E7EA6F8" w14:textId="77777777">
      <w:pPr>
        <w:pStyle w:val="Heading1"/>
        <w:jc w:val="left"/>
        <w:rPr>
          <w:snapToGrid w:val="0"/>
        </w:rPr>
      </w:pPr>
      <w:bookmarkStart w:id="142" w:name="_Ref517407438"/>
      <w:bookmarkStart w:id="143" w:name="_Ref517407519"/>
      <w:bookmarkStart w:id="144" w:name="_Ref517407535"/>
      <w:bookmarkStart w:id="145" w:name="_Ref517407539"/>
      <w:bookmarkStart w:id="146" w:name="_Ref517407542"/>
      <w:bookmarkStart w:id="147" w:name="_Toc517409039"/>
      <w:bookmarkStart w:id="148" w:name="_Toc72862707"/>
      <w:r w:rsidRPr="009A09FD">
        <w:rPr>
          <w:snapToGrid w:val="0"/>
        </w:rPr>
        <w:t>Conditions of the International Underwriters’ Obligations</w:t>
      </w:r>
      <w:bookmarkEnd w:id="142"/>
      <w:bookmarkEnd w:id="143"/>
      <w:bookmarkEnd w:id="144"/>
      <w:bookmarkEnd w:id="145"/>
      <w:bookmarkEnd w:id="146"/>
      <w:bookmarkEnd w:id="147"/>
      <w:bookmarkEnd w:id="148"/>
    </w:p>
    <w:p w:rsidR="001C5107" w:rsidRPr="009A09FD" w:rsidP="003C6CDA" w14:paraId="5BD876DF" w14:textId="065F3251">
      <w:pPr>
        <w:pStyle w:val="BodyText1"/>
        <w:rPr>
          <w:snapToGrid w:val="0"/>
        </w:rPr>
      </w:pPr>
      <w:r w:rsidRPr="009A09FD">
        <w:rPr>
          <w:snapToGrid w:val="0"/>
        </w:rPr>
        <w:t>The several obligations of the International Underwriters hereunder are subject to (x) all the respective representations and warranties and other statements herein on the part of the Company</w:t>
      </w:r>
      <w:r w:rsidRPr="009A09FD" w:rsidR="00DB22E0">
        <w:rPr>
          <w:snapToGrid w:val="0"/>
        </w:rPr>
        <w:t xml:space="preserve">, </w:t>
      </w:r>
      <w:r w:rsidRPr="009A09FD" w:rsidR="00AA263B">
        <w:rPr>
          <w:snapToGrid w:val="0"/>
        </w:rPr>
        <w:t xml:space="preserve">the </w:t>
      </w:r>
      <w:r w:rsidRPr="009A09FD" w:rsidR="00BD7D63">
        <w:rPr>
          <w:snapToGrid w:val="0"/>
        </w:rPr>
        <w:t xml:space="preserve">Warranting Shareholders </w:t>
      </w:r>
      <w:r w:rsidRPr="009A09FD">
        <w:rPr>
          <w:snapToGrid w:val="0"/>
        </w:rPr>
        <w:t xml:space="preserve">being true and accurate and not misleading at and as of the date hereof, the Time of Sale, the date of the </w:t>
      </w:r>
      <w:r w:rsidRPr="009A09FD" w:rsidR="005F428E">
        <w:rPr>
          <w:snapToGrid w:val="0"/>
        </w:rPr>
        <w:t>Offering Circular</w:t>
      </w:r>
      <w:r w:rsidRPr="009A09FD">
        <w:rPr>
          <w:snapToGrid w:val="0"/>
        </w:rPr>
        <w:t xml:space="preserve">, the date of any amendment or supplement to the Disclosure Package or the </w:t>
      </w:r>
      <w:r w:rsidRPr="009A09FD" w:rsidR="005F428E">
        <w:rPr>
          <w:snapToGrid w:val="0"/>
        </w:rPr>
        <w:t>Offering Circular</w:t>
      </w:r>
      <w:r w:rsidRPr="009A09FD">
        <w:rPr>
          <w:snapToGrid w:val="0"/>
        </w:rPr>
        <w:t xml:space="preserve"> and each Time of Delivery, (y) the performance and compliance by the Company</w:t>
      </w:r>
      <w:r w:rsidRPr="009A09FD" w:rsidR="00BD7D63">
        <w:rPr>
          <w:snapToGrid w:val="0"/>
        </w:rPr>
        <w:t xml:space="preserve"> and</w:t>
      </w:r>
      <w:r w:rsidRPr="009A09FD" w:rsidR="009046AE">
        <w:rPr>
          <w:snapToGrid w:val="0"/>
        </w:rPr>
        <w:t xml:space="preserve"> the </w:t>
      </w:r>
      <w:r w:rsidRPr="009A09FD" w:rsidR="00BD7D63">
        <w:rPr>
          <w:snapToGrid w:val="0"/>
        </w:rPr>
        <w:t>Warranting Shareholders</w:t>
      </w:r>
      <w:r w:rsidRPr="009A09FD" w:rsidR="00567D71">
        <w:rPr>
          <w:snapToGrid w:val="0"/>
        </w:rPr>
        <w:t xml:space="preserve"> </w:t>
      </w:r>
      <w:r w:rsidRPr="009A09FD" w:rsidR="005B67F1">
        <w:rPr>
          <w:snapToGrid w:val="0"/>
        </w:rPr>
        <w:t xml:space="preserve">with </w:t>
      </w:r>
      <w:r w:rsidRPr="009A09FD">
        <w:rPr>
          <w:snapToGrid w:val="0"/>
        </w:rPr>
        <w:t xml:space="preserve">all of </w:t>
      </w:r>
      <w:r w:rsidRPr="009A09FD" w:rsidR="000C319A">
        <w:rPr>
          <w:snapToGrid w:val="0"/>
        </w:rPr>
        <w:t>its/his/her</w:t>
      </w:r>
      <w:r w:rsidRPr="009A09FD" w:rsidR="000C319A">
        <w:rPr>
          <w:snapToGrid w:val="0"/>
        </w:rPr>
        <w:t xml:space="preserve"> </w:t>
      </w:r>
      <w:r w:rsidRPr="009A09FD">
        <w:rPr>
          <w:snapToGrid w:val="0"/>
        </w:rPr>
        <w:t xml:space="preserve">and their </w:t>
      </w:r>
      <w:r w:rsidRPr="009A09FD" w:rsidR="00D400CA">
        <w:rPr>
          <w:snapToGrid w:val="0"/>
        </w:rPr>
        <w:t xml:space="preserve">respective </w:t>
      </w:r>
      <w:r w:rsidRPr="009A09FD">
        <w:rPr>
          <w:snapToGrid w:val="0"/>
        </w:rPr>
        <w:t xml:space="preserve">obligations and undertakings hereunder and (z) the following additional conditions precedent; </w:t>
      </w:r>
      <w:r w:rsidRPr="009A09FD">
        <w:rPr>
          <w:b/>
          <w:snapToGrid w:val="0"/>
        </w:rPr>
        <w:t>provided, however, that</w:t>
      </w:r>
      <w:r w:rsidRPr="009A09FD">
        <w:rPr>
          <w:snapToGrid w:val="0"/>
        </w:rPr>
        <w:t xml:space="preserve"> the </w:t>
      </w:r>
      <w:r w:rsidRPr="009A09FD" w:rsidR="00B914CF">
        <w:rPr>
          <w:snapToGrid w:val="0"/>
        </w:rPr>
        <w:t xml:space="preserve">Overall Coordinators </w:t>
      </w:r>
      <w:r w:rsidRPr="009A09FD" w:rsidR="00642EB2">
        <w:rPr>
          <w:snapToGrid w:val="0"/>
        </w:rPr>
        <w:t xml:space="preserve">and the Joint Global Coordinators </w:t>
      </w:r>
      <w:r w:rsidRPr="009A09FD">
        <w:rPr>
          <w:snapToGrid w:val="0"/>
        </w:rPr>
        <w:t xml:space="preserve">may, in their sole and absolute discretion, waive or modify (with or without condition(s) attached) any condition precedent set forth in this Section </w:t>
      </w:r>
      <w:r w:rsidRPr="009A09FD">
        <w:rPr>
          <w:snapToGrid w:val="0"/>
        </w:rPr>
        <w:fldChar w:fldCharType="begin"/>
      </w:r>
      <w:r w:rsidRPr="009A09FD">
        <w:rPr>
          <w:snapToGrid w:val="0"/>
        </w:rPr>
        <w:instrText xml:space="preserve"> REF _Ref517407519 \w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8</w:t>
      </w:r>
      <w:r w:rsidRPr="009A09FD">
        <w:rPr>
          <w:snapToGrid w:val="0"/>
        </w:rPr>
        <w:fldChar w:fldCharType="end"/>
      </w:r>
      <w:r w:rsidRPr="009A09FD">
        <w:rPr>
          <w:snapToGrid w:val="0"/>
        </w:rPr>
        <w:t xml:space="preserve">; </w:t>
      </w:r>
      <w:r w:rsidRPr="009A09FD">
        <w:rPr>
          <w:b/>
          <w:snapToGrid w:val="0"/>
        </w:rPr>
        <w:t>provided, further, that</w:t>
      </w:r>
      <w:r w:rsidRPr="009A09FD">
        <w:rPr>
          <w:snapToGrid w:val="0"/>
        </w:rPr>
        <w:t xml:space="preserve">, with respect to the First Time of Delivery, the latest time for the </w:t>
      </w:r>
      <w:r w:rsidRPr="009A09FD" w:rsidR="00567D71">
        <w:rPr>
          <w:snapToGrid w:val="0"/>
        </w:rPr>
        <w:t>Overall Coordinators</w:t>
      </w:r>
      <w:r w:rsidRPr="009A09FD" w:rsidR="00642EB2">
        <w:rPr>
          <w:snapToGrid w:val="0"/>
        </w:rPr>
        <w:t xml:space="preserve"> and the Joint Global Coordinators</w:t>
      </w:r>
      <w:r w:rsidRPr="009A09FD" w:rsidR="00567D71">
        <w:rPr>
          <w:snapToGrid w:val="0"/>
        </w:rPr>
        <w:t xml:space="preserve"> </w:t>
      </w:r>
      <w:r w:rsidRPr="009A09FD">
        <w:rPr>
          <w:snapToGrid w:val="0"/>
        </w:rPr>
        <w:t xml:space="preserve">to exercise their discretion in respect of the conditions set forth in this Section shall be </w:t>
      </w:r>
      <w:r w:rsidRPr="009A09FD" w:rsidR="005010B1">
        <w:rPr>
          <w:snapToGrid w:val="0"/>
        </w:rPr>
        <w:t>[</w:t>
      </w:r>
      <w:r w:rsidRPr="009A09FD">
        <w:rPr>
          <w:snapToGrid w:val="0"/>
        </w:rPr>
        <w:t>8:00 a.m.</w:t>
      </w:r>
      <w:r w:rsidRPr="009A09FD" w:rsidR="005010B1">
        <w:rPr>
          <w:snapToGrid w:val="0"/>
        </w:rPr>
        <w:t>]</w:t>
      </w:r>
      <w:r w:rsidRPr="009A09FD">
        <w:rPr>
          <w:snapToGrid w:val="0"/>
        </w:rPr>
        <w:t>, Hong Kong time, on the day of the First Time of Delivery:</w:t>
      </w:r>
      <w:bookmarkEnd w:id="137"/>
    </w:p>
    <w:p w:rsidR="001C5107" w:rsidRPr="009A09FD" w:rsidP="003C6CDA" w14:paraId="1A552FBE" w14:textId="73A3477C">
      <w:pPr>
        <w:pStyle w:val="Heading3"/>
        <w:rPr>
          <w:snapToGrid w:val="0"/>
        </w:rPr>
      </w:pPr>
      <w:bookmarkStart w:id="149" w:name="_Ref367265645"/>
      <w:r w:rsidRPr="009A09FD">
        <w:rPr>
          <w:snapToGrid w:val="0"/>
        </w:rPr>
        <w:t>the Company shall, at each Time of Delivery, have delivered to the</w:t>
      </w:r>
      <w:r w:rsidRPr="009A09FD" w:rsidR="00A10862">
        <w:rPr>
          <w:snapToGrid w:val="0"/>
        </w:rPr>
        <w:t xml:space="preserve"> Joint Sponsors</w:t>
      </w:r>
      <w:r w:rsidRPr="009A09FD" w:rsidR="000C1AF2">
        <w:rPr>
          <w:snapToGrid w:val="0"/>
        </w:rPr>
        <w:t xml:space="preserve">, </w:t>
      </w:r>
      <w:r w:rsidRPr="009A09FD" w:rsidR="00A10862">
        <w:rPr>
          <w:snapToGrid w:val="0"/>
        </w:rPr>
        <w:t>the</w:t>
      </w:r>
      <w:r w:rsidRPr="009A09FD">
        <w:rPr>
          <w:snapToGrid w:val="0"/>
        </w:rPr>
        <w:t xml:space="preserve"> </w:t>
      </w:r>
      <w:r w:rsidRPr="009A09FD" w:rsidR="00BF7692">
        <w:rPr>
          <w:snapToGrid w:val="0"/>
        </w:rPr>
        <w:t>Overall Coordinators</w:t>
      </w:r>
      <w:r w:rsidRPr="009A09FD" w:rsidR="000C1AF2">
        <w:rPr>
          <w:snapToGrid w:val="0"/>
        </w:rPr>
        <w:t xml:space="preserve"> and the Joint Global Coordinators</w:t>
      </w:r>
      <w:r w:rsidRPr="009A09FD" w:rsidR="00BF7692">
        <w:rPr>
          <w:snapToGrid w:val="0"/>
        </w:rPr>
        <w:t xml:space="preserve"> </w:t>
      </w:r>
      <w:r w:rsidRPr="009A09FD">
        <w:rPr>
          <w:snapToGrid w:val="0"/>
        </w:rPr>
        <w:t xml:space="preserve">a certificate of </w:t>
      </w:r>
      <w:r w:rsidRPr="009A09FD" w:rsidR="001A2106">
        <w:rPr>
          <w:snapToGrid w:val="0"/>
        </w:rPr>
        <w:t xml:space="preserve">an </w:t>
      </w:r>
      <w:r w:rsidRPr="009A09FD">
        <w:rPr>
          <w:snapToGrid w:val="0"/>
        </w:rPr>
        <w:t xml:space="preserve">officer of the Company, dated the applicable Time of Delivery, and in the form set forth in </w:t>
      </w:r>
      <w:r w:rsidRPr="009A09FD" w:rsidR="00111954">
        <w:rPr>
          <w:snapToGrid w:val="0"/>
        </w:rPr>
        <w:fldChar w:fldCharType="begin"/>
      </w:r>
      <w:r w:rsidRPr="009A09FD" w:rsidR="00111954">
        <w:rPr>
          <w:snapToGrid w:val="0"/>
        </w:rPr>
        <w:instrText xml:space="preserve"> REF _Ref155102164 \n \h </w:instrText>
      </w:r>
      <w:r w:rsidR="009A09FD">
        <w:rPr>
          <w:snapToGrid w:val="0"/>
        </w:rPr>
        <w:instrText xml:space="preserve"> \* MERGEFORMAT </w:instrText>
      </w:r>
      <w:r w:rsidRPr="009A09FD" w:rsidR="00111954">
        <w:rPr>
          <w:snapToGrid w:val="0"/>
        </w:rPr>
        <w:fldChar w:fldCharType="separate"/>
      </w:r>
      <w:r w:rsidRPr="009A09FD" w:rsidR="00ED2E07">
        <w:rPr>
          <w:snapToGrid w:val="0"/>
        </w:rPr>
        <w:t>Exhibit A</w:t>
      </w:r>
      <w:r w:rsidRPr="009A09FD" w:rsidR="00111954">
        <w:rPr>
          <w:snapToGrid w:val="0"/>
        </w:rPr>
        <w:fldChar w:fldCharType="end"/>
      </w:r>
      <w:r w:rsidRPr="009A09FD">
        <w:rPr>
          <w:snapToGrid w:val="0"/>
        </w:rPr>
        <w:t xml:space="preserve"> hereto;</w:t>
      </w:r>
      <w:bookmarkEnd w:id="149"/>
    </w:p>
    <w:p w:rsidR="001C5107" w:rsidRPr="009A09FD" w:rsidP="003C6CDA" w14:paraId="5115409F" w14:textId="59FA456C">
      <w:pPr>
        <w:pStyle w:val="Heading3"/>
        <w:rPr>
          <w:snapToGrid w:val="0"/>
        </w:rPr>
      </w:pPr>
      <w:bookmarkStart w:id="150" w:name="_Ref367265646"/>
      <w:r w:rsidRPr="009A09FD">
        <w:rPr>
          <w:snapToGrid w:val="0"/>
        </w:rPr>
        <w:t>the Company shall, at each Time of Delivery, have delivered to the</w:t>
      </w:r>
      <w:r w:rsidRPr="009A09FD" w:rsidR="00A10862">
        <w:rPr>
          <w:snapToGrid w:val="0"/>
        </w:rPr>
        <w:t xml:space="preserve"> Joint Sponsors</w:t>
      </w:r>
      <w:r w:rsidRPr="009A09FD" w:rsidR="000C1AF2">
        <w:rPr>
          <w:snapToGrid w:val="0"/>
        </w:rPr>
        <w:t>,</w:t>
      </w:r>
      <w:r w:rsidRPr="009A09FD" w:rsidR="00A10862">
        <w:rPr>
          <w:snapToGrid w:val="0"/>
        </w:rPr>
        <w:t xml:space="preserve"> the</w:t>
      </w:r>
      <w:r w:rsidRPr="009A09FD">
        <w:rPr>
          <w:snapToGrid w:val="0"/>
        </w:rPr>
        <w:t xml:space="preserve"> </w:t>
      </w:r>
      <w:r w:rsidRPr="009A09FD" w:rsidR="00CB73FA">
        <w:rPr>
          <w:snapToGrid w:val="0"/>
        </w:rPr>
        <w:t>Overall Coordinators</w:t>
      </w:r>
      <w:r w:rsidRPr="009A09FD" w:rsidR="000C1AF2">
        <w:rPr>
          <w:snapToGrid w:val="0"/>
        </w:rPr>
        <w:t xml:space="preserve"> and the Joint Global Coordinators</w:t>
      </w:r>
      <w:r w:rsidRPr="009A09FD" w:rsidR="00CB73FA">
        <w:rPr>
          <w:snapToGrid w:val="0"/>
        </w:rPr>
        <w:t xml:space="preserve"> </w:t>
      </w:r>
      <w:r w:rsidRPr="009A09FD">
        <w:rPr>
          <w:snapToGrid w:val="0"/>
        </w:rPr>
        <w:t>a</w:t>
      </w:r>
      <w:r w:rsidRPr="009A09FD" w:rsidR="00AA2D1D">
        <w:rPr>
          <w:snapToGrid w:val="0"/>
        </w:rPr>
        <w:t>n officer’s</w:t>
      </w:r>
      <w:r w:rsidRPr="009A09FD">
        <w:rPr>
          <w:snapToGrid w:val="0"/>
        </w:rPr>
        <w:t xml:space="preserve"> certificate of the Company</w:t>
      </w:r>
      <w:r w:rsidRPr="009A09FD" w:rsidR="006025B7">
        <w:rPr>
          <w:snapToGrid w:val="0"/>
        </w:rPr>
        <w:t xml:space="preserve"> signed by the Chief Financial Officer</w:t>
      </w:r>
      <w:r w:rsidRPr="009A09FD">
        <w:rPr>
          <w:snapToGrid w:val="0"/>
        </w:rPr>
        <w:t>, dated the applicable Time of Delivery with respect to certain financial, operational and business data</w:t>
      </w:r>
      <w:r w:rsidRPr="009A09FD" w:rsidR="00BD7D63">
        <w:rPr>
          <w:snapToGrid w:val="0"/>
        </w:rPr>
        <w:t xml:space="preserve"> of the Group</w:t>
      </w:r>
      <w:r w:rsidRPr="009A09FD">
        <w:rPr>
          <w:snapToGrid w:val="0"/>
        </w:rPr>
        <w:t xml:space="preserve"> contained in each of the </w:t>
      </w:r>
      <w:r w:rsidRPr="009A09FD" w:rsidR="00A10862">
        <w:rPr>
          <w:snapToGrid w:val="0"/>
        </w:rPr>
        <w:t xml:space="preserve">Hong Kong Prospectus, </w:t>
      </w:r>
      <w:r w:rsidRPr="009A09FD">
        <w:rPr>
          <w:snapToGrid w:val="0"/>
        </w:rPr>
        <w:t xml:space="preserve">Disclosure Package and </w:t>
      </w:r>
      <w:r w:rsidRPr="009A09FD" w:rsidR="005F428E">
        <w:rPr>
          <w:snapToGrid w:val="0"/>
        </w:rPr>
        <w:t>Offering Circular</w:t>
      </w:r>
      <w:r w:rsidRPr="009A09FD">
        <w:rPr>
          <w:snapToGrid w:val="0"/>
        </w:rPr>
        <w:t xml:space="preserve">, and in form set forth in </w:t>
      </w:r>
      <w:r w:rsidRPr="009A09FD" w:rsidR="00111954">
        <w:rPr>
          <w:snapToGrid w:val="0"/>
        </w:rPr>
        <w:fldChar w:fldCharType="begin"/>
      </w:r>
      <w:r w:rsidRPr="009A09FD" w:rsidR="00111954">
        <w:rPr>
          <w:snapToGrid w:val="0"/>
        </w:rPr>
        <w:instrText xml:space="preserve"> REF _Ref155102354 \n \h </w:instrText>
      </w:r>
      <w:r w:rsidR="009A09FD">
        <w:rPr>
          <w:snapToGrid w:val="0"/>
        </w:rPr>
        <w:instrText xml:space="preserve"> \* MERGEFORMAT </w:instrText>
      </w:r>
      <w:r w:rsidRPr="009A09FD" w:rsidR="00111954">
        <w:rPr>
          <w:snapToGrid w:val="0"/>
        </w:rPr>
        <w:fldChar w:fldCharType="separate"/>
      </w:r>
      <w:r w:rsidRPr="009A09FD" w:rsidR="00ED2E07">
        <w:rPr>
          <w:snapToGrid w:val="0"/>
        </w:rPr>
        <w:t>Exhibit B</w:t>
      </w:r>
      <w:r w:rsidRPr="009A09FD" w:rsidR="00111954">
        <w:rPr>
          <w:snapToGrid w:val="0"/>
        </w:rPr>
        <w:fldChar w:fldCharType="end"/>
      </w:r>
      <w:r w:rsidRPr="009A09FD">
        <w:rPr>
          <w:snapToGrid w:val="0"/>
        </w:rPr>
        <w:t xml:space="preserve"> hereto;</w:t>
      </w:r>
      <w:bookmarkEnd w:id="150"/>
    </w:p>
    <w:p w:rsidR="001C5107" w:rsidRPr="009A09FD" w:rsidP="003C6CDA" w14:paraId="375D013C" w14:textId="026729A4">
      <w:pPr>
        <w:pStyle w:val="Heading3"/>
        <w:rPr>
          <w:snapToGrid w:val="0"/>
        </w:rPr>
      </w:pPr>
      <w:bookmarkStart w:id="151" w:name="_Ref367265647"/>
      <w:r w:rsidRPr="009A09FD">
        <w:rPr>
          <w:snapToGrid w:val="0"/>
        </w:rPr>
        <w:t xml:space="preserve">the Company shall, at each Time of Delivery, have delivered to the </w:t>
      </w:r>
      <w:r w:rsidRPr="009A09FD" w:rsidR="00A10862">
        <w:rPr>
          <w:snapToGrid w:val="0"/>
        </w:rPr>
        <w:t>Joint Sponsors</w:t>
      </w:r>
      <w:r w:rsidRPr="009A09FD" w:rsidR="000C1AF2">
        <w:rPr>
          <w:snapToGrid w:val="0"/>
        </w:rPr>
        <w:t>,</w:t>
      </w:r>
      <w:r w:rsidRPr="009A09FD" w:rsidR="00A10862">
        <w:rPr>
          <w:snapToGrid w:val="0"/>
        </w:rPr>
        <w:t xml:space="preserve"> the </w:t>
      </w:r>
      <w:r w:rsidRPr="009A09FD" w:rsidR="00B809A0">
        <w:rPr>
          <w:snapToGrid w:val="0"/>
        </w:rPr>
        <w:t>Overall Coordinators</w:t>
      </w:r>
      <w:r w:rsidRPr="009A09FD" w:rsidR="000C1AF2">
        <w:rPr>
          <w:snapToGrid w:val="0"/>
        </w:rPr>
        <w:t xml:space="preserve"> and the Joint Global Coordinators</w:t>
      </w:r>
      <w:r w:rsidRPr="009A09FD" w:rsidR="00B809A0">
        <w:rPr>
          <w:snapToGrid w:val="0"/>
        </w:rPr>
        <w:t xml:space="preserve"> </w:t>
      </w:r>
      <w:r w:rsidRPr="009A09FD">
        <w:rPr>
          <w:snapToGrid w:val="0"/>
        </w:rPr>
        <w:t xml:space="preserve">a certificate of its company secretaries, dated the applicable Time of Delivery, and in the form set forth in </w:t>
      </w:r>
      <w:r w:rsidRPr="009A09FD">
        <w:rPr>
          <w:snapToGrid w:val="0"/>
        </w:rPr>
        <w:fldChar w:fldCharType="begin"/>
      </w:r>
      <w:r w:rsidRPr="009A09FD">
        <w:rPr>
          <w:snapToGrid w:val="0"/>
        </w:rPr>
        <w:instrText xml:space="preserve"> REF _Ref517408125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Exhibit C</w:t>
      </w:r>
      <w:r w:rsidRPr="009A09FD">
        <w:rPr>
          <w:snapToGrid w:val="0"/>
        </w:rPr>
        <w:fldChar w:fldCharType="end"/>
      </w:r>
      <w:r w:rsidRPr="009A09FD">
        <w:rPr>
          <w:snapToGrid w:val="0"/>
        </w:rPr>
        <w:t xml:space="preserve"> hereto;</w:t>
      </w:r>
      <w:bookmarkEnd w:id="151"/>
    </w:p>
    <w:p w:rsidR="001C5107" w:rsidRPr="009A09FD" w:rsidP="003C6CDA" w14:paraId="06051CBD" w14:textId="1A7DAB7A">
      <w:pPr>
        <w:pStyle w:val="Heading3"/>
        <w:rPr>
          <w:snapToGrid w:val="0"/>
        </w:rPr>
      </w:pPr>
      <w:bookmarkStart w:id="152" w:name="_Ref367265648"/>
      <w:r w:rsidRPr="009A09FD">
        <w:rPr>
          <w:snapToGrid w:val="0"/>
        </w:rPr>
        <w:t xml:space="preserve">each </w:t>
      </w:r>
      <w:r w:rsidRPr="009A09FD" w:rsidR="007A14A3">
        <w:rPr>
          <w:snapToGrid w:val="0"/>
        </w:rPr>
        <w:t xml:space="preserve">of </w:t>
      </w:r>
      <w:r w:rsidRPr="009A09FD" w:rsidR="0045566B">
        <w:rPr>
          <w:snapToGrid w:val="0"/>
        </w:rPr>
        <w:t xml:space="preserve">the </w:t>
      </w:r>
      <w:r w:rsidRPr="009A09FD" w:rsidR="00096C80">
        <w:rPr>
          <w:snapToGrid w:val="0"/>
        </w:rPr>
        <w:t>Warranting Shareholders</w:t>
      </w:r>
      <w:r w:rsidRPr="009A09FD" w:rsidR="0045566B">
        <w:rPr>
          <w:snapToGrid w:val="0"/>
        </w:rPr>
        <w:t xml:space="preserve"> shall have signed and furnished to the </w:t>
      </w:r>
      <w:r w:rsidRPr="009A09FD" w:rsidR="005E6022">
        <w:rPr>
          <w:snapToGrid w:val="0"/>
        </w:rPr>
        <w:t>Joint Sponsors</w:t>
      </w:r>
      <w:r w:rsidRPr="009A09FD" w:rsidR="000C1AF2">
        <w:rPr>
          <w:snapToGrid w:val="0"/>
        </w:rPr>
        <w:t>,</w:t>
      </w:r>
      <w:r w:rsidRPr="009A09FD" w:rsidR="005E6022">
        <w:rPr>
          <w:snapToGrid w:val="0"/>
        </w:rPr>
        <w:t xml:space="preserve"> the </w:t>
      </w:r>
      <w:r w:rsidRPr="009A09FD" w:rsidR="00FF4249">
        <w:rPr>
          <w:snapToGrid w:val="0"/>
        </w:rPr>
        <w:t>Overall Coordinators</w:t>
      </w:r>
      <w:r w:rsidRPr="009A09FD" w:rsidR="000C1AF2">
        <w:rPr>
          <w:snapToGrid w:val="0"/>
        </w:rPr>
        <w:t xml:space="preserve"> and the Joint Global Coordinators</w:t>
      </w:r>
      <w:r w:rsidRPr="009A09FD" w:rsidR="0045566B">
        <w:rPr>
          <w:snapToGrid w:val="0"/>
        </w:rPr>
        <w:t xml:space="preserve">, a certificate, in the form attached hereto as </w:t>
      </w:r>
      <w:r w:rsidRPr="009A09FD" w:rsidR="0045566B">
        <w:rPr>
          <w:snapToGrid w:val="0"/>
        </w:rPr>
        <w:fldChar w:fldCharType="begin"/>
      </w:r>
      <w:r w:rsidRPr="009A09FD" w:rsidR="0045566B">
        <w:rPr>
          <w:snapToGrid w:val="0"/>
        </w:rPr>
        <w:instrText xml:space="preserve"> REF _Ref517408129 \n \h </w:instrText>
      </w:r>
      <w:r w:rsidRPr="009A09FD" w:rsidR="00A469A2">
        <w:rPr>
          <w:snapToGrid w:val="0"/>
        </w:rPr>
        <w:instrText xml:space="preserve"> \* MERGEFORMAT </w:instrText>
      </w:r>
      <w:r w:rsidRPr="009A09FD" w:rsidR="0045566B">
        <w:rPr>
          <w:snapToGrid w:val="0"/>
        </w:rPr>
        <w:fldChar w:fldCharType="separate"/>
      </w:r>
      <w:r w:rsidRPr="009A09FD" w:rsidR="00ED2E07">
        <w:rPr>
          <w:snapToGrid w:val="0"/>
        </w:rPr>
        <w:t>Exhibit D</w:t>
      </w:r>
      <w:r w:rsidRPr="009A09FD" w:rsidR="0045566B">
        <w:rPr>
          <w:snapToGrid w:val="0"/>
        </w:rPr>
        <w:fldChar w:fldCharType="end"/>
      </w:r>
      <w:r w:rsidRPr="009A09FD" w:rsidR="0045566B">
        <w:rPr>
          <w:snapToGrid w:val="0"/>
        </w:rPr>
        <w:t xml:space="preserve">, dated the applicable Time of Delivery.  The </w:t>
      </w:r>
      <w:r w:rsidRPr="009A09FD" w:rsidR="00096C80">
        <w:rPr>
          <w:snapToGrid w:val="0"/>
        </w:rPr>
        <w:t>Warranting Shareholders</w:t>
      </w:r>
      <w:r w:rsidRPr="009A09FD" w:rsidR="0045566B">
        <w:rPr>
          <w:snapToGrid w:val="0"/>
        </w:rPr>
        <w:t xml:space="preserve"> shall have furnished or caused to be furnished to the </w:t>
      </w:r>
      <w:r w:rsidRPr="009A09FD" w:rsidR="00A10862">
        <w:rPr>
          <w:snapToGrid w:val="0"/>
        </w:rPr>
        <w:t>Joint Sponsors</w:t>
      </w:r>
      <w:r w:rsidRPr="009A09FD" w:rsidR="000C1AF2">
        <w:rPr>
          <w:snapToGrid w:val="0"/>
        </w:rPr>
        <w:t xml:space="preserve">, </w:t>
      </w:r>
      <w:r w:rsidRPr="009A09FD" w:rsidR="00A10862">
        <w:rPr>
          <w:snapToGrid w:val="0"/>
        </w:rPr>
        <w:t xml:space="preserve">the </w:t>
      </w:r>
      <w:r w:rsidRPr="009A09FD" w:rsidR="00396DF4">
        <w:rPr>
          <w:snapToGrid w:val="0"/>
        </w:rPr>
        <w:t>Overall Coordinators</w:t>
      </w:r>
      <w:r w:rsidRPr="009A09FD" w:rsidR="0045566B">
        <w:rPr>
          <w:snapToGrid w:val="0"/>
        </w:rPr>
        <w:t xml:space="preserve"> </w:t>
      </w:r>
      <w:r w:rsidRPr="009A09FD" w:rsidR="000C1AF2">
        <w:rPr>
          <w:snapToGrid w:val="0"/>
        </w:rPr>
        <w:t xml:space="preserve">and the Joint Global Coordinators </w:t>
      </w:r>
      <w:r w:rsidRPr="009A09FD" w:rsidR="0045566B">
        <w:rPr>
          <w:snapToGrid w:val="0"/>
        </w:rPr>
        <w:t>documents or certificates relating to such other matters as the</w:t>
      </w:r>
      <w:r w:rsidRPr="009A09FD" w:rsidR="00A10862">
        <w:rPr>
          <w:snapToGrid w:val="0"/>
        </w:rPr>
        <w:t xml:space="preserve"> Joint Sponsors</w:t>
      </w:r>
      <w:r w:rsidRPr="009A09FD" w:rsidR="000C1AF2">
        <w:rPr>
          <w:snapToGrid w:val="0"/>
        </w:rPr>
        <w:t>,</w:t>
      </w:r>
      <w:r w:rsidRPr="009A09FD" w:rsidR="00A10862">
        <w:rPr>
          <w:snapToGrid w:val="0"/>
        </w:rPr>
        <w:t xml:space="preserve"> the</w:t>
      </w:r>
      <w:r w:rsidRPr="009A09FD" w:rsidR="0045566B">
        <w:rPr>
          <w:snapToGrid w:val="0"/>
        </w:rPr>
        <w:t xml:space="preserve"> </w:t>
      </w:r>
      <w:r w:rsidRPr="009A09FD" w:rsidR="00396DF4">
        <w:rPr>
          <w:snapToGrid w:val="0"/>
        </w:rPr>
        <w:t xml:space="preserve">Overall Coordinators </w:t>
      </w:r>
      <w:r w:rsidRPr="009A09FD" w:rsidR="000C1AF2">
        <w:rPr>
          <w:snapToGrid w:val="0"/>
        </w:rPr>
        <w:t xml:space="preserve">and the Joint Global Coordinators </w:t>
      </w:r>
      <w:r w:rsidRPr="009A09FD" w:rsidR="0045566B">
        <w:rPr>
          <w:snapToGrid w:val="0"/>
        </w:rPr>
        <w:t>may request;</w:t>
      </w:r>
      <w:bookmarkEnd w:id="152"/>
    </w:p>
    <w:p w:rsidR="001C5107" w:rsidRPr="009A09FD" w:rsidP="003C6CDA" w14:paraId="0D2C2C25" w14:textId="1A058EBE">
      <w:pPr>
        <w:pStyle w:val="Heading3"/>
        <w:rPr>
          <w:snapToGrid w:val="0"/>
        </w:rPr>
      </w:pPr>
      <w:bookmarkStart w:id="153" w:name="_Ref367265649"/>
      <w:r w:rsidRPr="009A09FD">
        <w:rPr>
          <w:b/>
          <w:bCs/>
          <w:snapToGrid w:val="0"/>
        </w:rPr>
        <w:t>[</w:t>
      </w:r>
      <w:r w:rsidRPr="009A09FD" w:rsidR="00B93695">
        <w:rPr>
          <w:b/>
          <w:bCs/>
          <w:snapToGrid w:val="0"/>
        </w:rPr>
        <w:t>I</w:t>
      </w:r>
      <w:r w:rsidRPr="009A09FD">
        <w:rPr>
          <w:b/>
          <w:bCs/>
          <w:snapToGrid w:val="0"/>
        </w:rPr>
        <w:t>nsert the name of law firm]</w:t>
      </w:r>
      <w:r w:rsidRPr="009A09FD" w:rsidR="0045566B">
        <w:rPr>
          <w:snapToGrid w:val="0"/>
        </w:rPr>
        <w:t xml:space="preserve">, counsel for the Company as to U.S. law, shall have furnished to the </w:t>
      </w:r>
      <w:r w:rsidRPr="009A09FD" w:rsidR="00A10862">
        <w:rPr>
          <w:snapToGrid w:val="0"/>
        </w:rPr>
        <w:t>Joint Sponsors</w:t>
      </w:r>
      <w:r w:rsidRPr="009A09FD" w:rsidR="000C1AF2">
        <w:rPr>
          <w:snapToGrid w:val="0"/>
        </w:rPr>
        <w:t>,</w:t>
      </w:r>
      <w:r w:rsidRPr="009A09FD" w:rsidR="00A10862">
        <w:rPr>
          <w:snapToGrid w:val="0"/>
        </w:rPr>
        <w:t xml:space="preserve"> the </w:t>
      </w:r>
      <w:r w:rsidRPr="009A09FD" w:rsidR="008A2395">
        <w:rPr>
          <w:snapToGrid w:val="0"/>
        </w:rPr>
        <w:t xml:space="preserve">Overall Coordinators </w:t>
      </w:r>
      <w:r w:rsidRPr="009A09FD" w:rsidR="000C1AF2">
        <w:rPr>
          <w:snapToGrid w:val="0"/>
        </w:rPr>
        <w:t xml:space="preserve">and the Joint Global Coordinators </w:t>
      </w:r>
      <w:r w:rsidRPr="009A09FD" w:rsidR="0045566B">
        <w:rPr>
          <w:snapToGrid w:val="0"/>
        </w:rPr>
        <w:t>at each Time of Delivery an opinion</w:t>
      </w:r>
      <w:r w:rsidRPr="009A09FD" w:rsidR="005A2F0B">
        <w:rPr>
          <w:snapToGrid w:val="0"/>
        </w:rPr>
        <w:t xml:space="preserve"> and a 10b-5 disclosure letter</w:t>
      </w:r>
      <w:r w:rsidRPr="009A09FD" w:rsidR="0045566B">
        <w:rPr>
          <w:snapToGrid w:val="0"/>
        </w:rPr>
        <w:t xml:space="preserve"> addressed to </w:t>
      </w:r>
      <w:r w:rsidRPr="009A09FD" w:rsidR="00B2374C">
        <w:rPr>
          <w:snapToGrid w:val="0"/>
        </w:rPr>
        <w:t xml:space="preserve">the Joint Sponsors, </w:t>
      </w:r>
      <w:r w:rsidRPr="009A09FD" w:rsidR="0045566B">
        <w:rPr>
          <w:snapToGrid w:val="0"/>
        </w:rPr>
        <w:t xml:space="preserve">the </w:t>
      </w:r>
      <w:r w:rsidRPr="009A09FD" w:rsidR="009A57B5">
        <w:rPr>
          <w:snapToGrid w:val="0"/>
        </w:rPr>
        <w:t>Overall Coordinators</w:t>
      </w:r>
      <w:r w:rsidRPr="009A09FD" w:rsidR="00A06D4E">
        <w:rPr>
          <w:snapToGrid w:val="0"/>
        </w:rPr>
        <w:t xml:space="preserve">, </w:t>
      </w:r>
      <w:r w:rsidRPr="009A09FD" w:rsidR="00AF13B6">
        <w:rPr>
          <w:snapToGrid w:val="0"/>
        </w:rPr>
        <w:t>the Sponsor-</w:t>
      </w:r>
      <w:r w:rsidRPr="009A09FD" w:rsidR="002C0983">
        <w:rPr>
          <w:snapToGrid w:val="0"/>
        </w:rPr>
        <w:t>OC</w:t>
      </w:r>
      <w:r w:rsidRPr="009A09FD" w:rsidR="000C1AF2">
        <w:rPr>
          <w:snapToGrid w:val="0"/>
        </w:rPr>
        <w:t>, the Joint Global Coordinators</w:t>
      </w:r>
      <w:r w:rsidRPr="009A09FD" w:rsidR="00352AA6">
        <w:rPr>
          <w:snapToGrid w:val="0"/>
        </w:rPr>
        <w:t xml:space="preserve"> </w:t>
      </w:r>
      <w:r w:rsidRPr="009A09FD" w:rsidR="00F756C1">
        <w:rPr>
          <w:snapToGrid w:val="0"/>
        </w:rPr>
        <w:t>and the International Underwriters</w:t>
      </w:r>
      <w:r w:rsidRPr="009A09FD" w:rsidR="0045566B">
        <w:rPr>
          <w:snapToGrid w:val="0"/>
        </w:rPr>
        <w:t xml:space="preserve"> and dated the applicable Time of Delivery in </w:t>
      </w:r>
      <w:bookmarkStart w:id="154" w:name="DocXTextRef81"/>
      <w:r w:rsidRPr="009A09FD" w:rsidR="0045566B">
        <w:rPr>
          <w:snapToGrid w:val="0"/>
        </w:rPr>
        <w:t xml:space="preserve">form and substance satisfactory to </w:t>
      </w:r>
      <w:bookmarkEnd w:id="154"/>
      <w:r w:rsidRPr="009A09FD" w:rsidR="00723F36">
        <w:rPr>
          <w:snapToGrid w:val="0"/>
        </w:rPr>
        <w:t>the</w:t>
      </w:r>
      <w:r w:rsidRPr="009A09FD" w:rsidR="00A10862">
        <w:rPr>
          <w:snapToGrid w:val="0"/>
        </w:rPr>
        <w:t xml:space="preserve"> Joint Sponsors</w:t>
      </w:r>
      <w:r w:rsidRPr="009A09FD" w:rsidR="000C1AF2">
        <w:rPr>
          <w:snapToGrid w:val="0"/>
        </w:rPr>
        <w:t xml:space="preserve">, </w:t>
      </w:r>
      <w:r w:rsidRPr="009A09FD" w:rsidR="00A10862">
        <w:rPr>
          <w:snapToGrid w:val="0"/>
        </w:rPr>
        <w:t>the</w:t>
      </w:r>
      <w:r w:rsidRPr="009A09FD" w:rsidR="00723F36">
        <w:rPr>
          <w:snapToGrid w:val="0"/>
        </w:rPr>
        <w:t xml:space="preserve"> Overall Coordinators</w:t>
      </w:r>
      <w:r w:rsidRPr="009A09FD" w:rsidR="000C1AF2">
        <w:rPr>
          <w:snapToGrid w:val="0"/>
        </w:rPr>
        <w:t xml:space="preserve"> and the Joint Global Coordinators</w:t>
      </w:r>
      <w:r w:rsidRPr="009A09FD" w:rsidR="0045566B">
        <w:rPr>
          <w:snapToGrid w:val="0"/>
        </w:rPr>
        <w:t>;</w:t>
      </w:r>
      <w:bookmarkEnd w:id="153"/>
    </w:p>
    <w:p w:rsidR="001C5107" w:rsidRPr="009A09FD" w:rsidP="003C6CDA" w14:paraId="6FA7AA19" w14:textId="2A6AA448">
      <w:pPr>
        <w:pStyle w:val="Heading3"/>
        <w:rPr>
          <w:snapToGrid w:val="0"/>
        </w:rPr>
      </w:pPr>
      <w:bookmarkStart w:id="155" w:name="_Ref367265651"/>
      <w:r w:rsidRPr="009A09FD">
        <w:rPr>
          <w:b/>
          <w:bCs/>
          <w:snapToGrid w:val="0"/>
        </w:rPr>
        <w:t>[Insert the name of law firm]</w:t>
      </w:r>
      <w:r w:rsidRPr="009A09FD" w:rsidR="0045566B">
        <w:rPr>
          <w:snapToGrid w:val="0"/>
        </w:rPr>
        <w:t>, counsel for the Company as to Hong Kong law, shall have furnished to the</w:t>
      </w:r>
      <w:r w:rsidRPr="009A09FD" w:rsidR="00A10862">
        <w:rPr>
          <w:snapToGrid w:val="0"/>
        </w:rPr>
        <w:t xml:space="preserve"> Joint Sponsors</w:t>
      </w:r>
      <w:r w:rsidRPr="009A09FD" w:rsidR="00090B9F">
        <w:rPr>
          <w:snapToGrid w:val="0"/>
        </w:rPr>
        <w:t xml:space="preserve">, </w:t>
      </w:r>
      <w:r w:rsidRPr="009A09FD" w:rsidR="00A10862">
        <w:rPr>
          <w:snapToGrid w:val="0"/>
        </w:rPr>
        <w:t>the</w:t>
      </w:r>
      <w:r w:rsidRPr="009A09FD" w:rsidR="0045566B">
        <w:rPr>
          <w:snapToGrid w:val="0"/>
        </w:rPr>
        <w:t xml:space="preserve"> </w:t>
      </w:r>
      <w:r w:rsidRPr="009A09FD" w:rsidR="00742969">
        <w:rPr>
          <w:snapToGrid w:val="0"/>
        </w:rPr>
        <w:t>Overall Coordinators</w:t>
      </w:r>
      <w:r w:rsidRPr="009A09FD" w:rsidR="00090B9F">
        <w:rPr>
          <w:snapToGrid w:val="0"/>
        </w:rPr>
        <w:t xml:space="preserve"> and the Joint Global Coordinators</w:t>
      </w:r>
      <w:r w:rsidRPr="009A09FD" w:rsidR="00742969">
        <w:rPr>
          <w:snapToGrid w:val="0"/>
        </w:rPr>
        <w:t xml:space="preserve"> </w:t>
      </w:r>
      <w:r w:rsidRPr="009A09FD" w:rsidR="0045566B">
        <w:rPr>
          <w:snapToGrid w:val="0"/>
        </w:rPr>
        <w:t xml:space="preserve">at each Time of Delivery a </w:t>
      </w:r>
      <w:r w:rsidRPr="009A09FD" w:rsidR="004B61C2">
        <w:rPr>
          <w:snapToGrid w:val="0"/>
        </w:rPr>
        <w:t xml:space="preserve">Hong Kong </w:t>
      </w:r>
      <w:r w:rsidRPr="009A09FD" w:rsidR="0045566B">
        <w:rPr>
          <w:snapToGrid w:val="0"/>
        </w:rPr>
        <w:t xml:space="preserve">opinion addressed to </w:t>
      </w:r>
      <w:r w:rsidRPr="009A09FD" w:rsidR="00B2374C">
        <w:rPr>
          <w:snapToGrid w:val="0"/>
        </w:rPr>
        <w:t xml:space="preserve">the Joint Sponsors, </w:t>
      </w:r>
      <w:r w:rsidRPr="009A09FD" w:rsidR="0045566B">
        <w:rPr>
          <w:snapToGrid w:val="0"/>
        </w:rPr>
        <w:t xml:space="preserve">the </w:t>
      </w:r>
      <w:r w:rsidRPr="009A09FD" w:rsidR="00E5420E">
        <w:rPr>
          <w:snapToGrid w:val="0"/>
        </w:rPr>
        <w:t>Overall Coordinators</w:t>
      </w:r>
      <w:r w:rsidRPr="009A09FD" w:rsidR="00417DF7">
        <w:rPr>
          <w:snapToGrid w:val="0"/>
        </w:rPr>
        <w:t>, the Sponsor-</w:t>
      </w:r>
      <w:r w:rsidRPr="009A09FD" w:rsidR="00E5420E">
        <w:rPr>
          <w:snapToGrid w:val="0"/>
        </w:rPr>
        <w:t>OC</w:t>
      </w:r>
      <w:r w:rsidRPr="009A09FD" w:rsidR="00EF3DB0">
        <w:rPr>
          <w:snapToGrid w:val="0"/>
        </w:rPr>
        <w:t>, the Joint Global Coordinators</w:t>
      </w:r>
      <w:r w:rsidRPr="009A09FD" w:rsidR="00421624">
        <w:rPr>
          <w:snapToGrid w:val="0"/>
        </w:rPr>
        <w:t xml:space="preserve"> </w:t>
      </w:r>
      <w:r w:rsidRPr="009A09FD" w:rsidR="0045566B">
        <w:rPr>
          <w:snapToGrid w:val="0"/>
        </w:rPr>
        <w:t xml:space="preserve">and the </w:t>
      </w:r>
      <w:r w:rsidRPr="009A09FD" w:rsidR="00F756C1">
        <w:rPr>
          <w:snapToGrid w:val="0"/>
        </w:rPr>
        <w:t xml:space="preserve">International </w:t>
      </w:r>
      <w:r w:rsidRPr="009A09FD" w:rsidR="0045566B">
        <w:rPr>
          <w:snapToGrid w:val="0"/>
        </w:rPr>
        <w:t xml:space="preserve">Underwriters and dated the applicable Time of Delivery in form and substance satisfactory to the </w:t>
      </w:r>
      <w:r w:rsidRPr="009A09FD" w:rsidR="00A10862">
        <w:rPr>
          <w:snapToGrid w:val="0"/>
        </w:rPr>
        <w:t>Joint Sponsors</w:t>
      </w:r>
      <w:r w:rsidRPr="009A09FD" w:rsidR="00090B9F">
        <w:rPr>
          <w:snapToGrid w:val="0"/>
        </w:rPr>
        <w:t>,</w:t>
      </w:r>
      <w:r w:rsidRPr="009A09FD" w:rsidR="00A10862">
        <w:rPr>
          <w:snapToGrid w:val="0"/>
        </w:rPr>
        <w:t xml:space="preserve"> the </w:t>
      </w:r>
      <w:r w:rsidRPr="009A09FD" w:rsidR="007D3B46">
        <w:rPr>
          <w:snapToGrid w:val="0"/>
        </w:rPr>
        <w:t>Overall Coordinators</w:t>
      </w:r>
      <w:r w:rsidRPr="009A09FD" w:rsidR="00090B9F">
        <w:rPr>
          <w:snapToGrid w:val="0"/>
        </w:rPr>
        <w:t xml:space="preserve"> and the Joint Global Coordinators</w:t>
      </w:r>
      <w:r w:rsidRPr="009A09FD" w:rsidR="0045566B">
        <w:rPr>
          <w:snapToGrid w:val="0"/>
        </w:rPr>
        <w:t>;</w:t>
      </w:r>
      <w:bookmarkEnd w:id="155"/>
    </w:p>
    <w:p w:rsidR="001C5107" w:rsidRPr="009A09FD" w:rsidP="003C6CDA" w14:paraId="0E357E24" w14:textId="5E962504">
      <w:pPr>
        <w:pStyle w:val="Heading3"/>
        <w:rPr>
          <w:snapToGrid w:val="0"/>
        </w:rPr>
      </w:pPr>
      <w:bookmarkStart w:id="156" w:name="_Ref367265652"/>
      <w:r w:rsidRPr="009A09FD">
        <w:rPr>
          <w:b/>
          <w:bCs/>
          <w:snapToGrid w:val="0"/>
        </w:rPr>
        <w:t>[Insert the name of law firm]</w:t>
      </w:r>
      <w:r w:rsidRPr="009A09FD" w:rsidR="0045566B">
        <w:rPr>
          <w:snapToGrid w:val="0"/>
        </w:rPr>
        <w:t>, counsel for the Company as to Cayman Islands law, shall have furnished to the</w:t>
      </w:r>
      <w:r w:rsidRPr="009A09FD" w:rsidR="00A10862">
        <w:rPr>
          <w:snapToGrid w:val="0"/>
        </w:rPr>
        <w:t xml:space="preserve"> Joint </w:t>
      </w:r>
      <w:r w:rsidRPr="009A09FD" w:rsidR="00090B9F">
        <w:rPr>
          <w:snapToGrid w:val="0"/>
        </w:rPr>
        <w:t>Sponsors, Overall</w:t>
      </w:r>
      <w:r w:rsidRPr="009A09FD" w:rsidR="007B6EB4">
        <w:rPr>
          <w:snapToGrid w:val="0"/>
        </w:rPr>
        <w:t xml:space="preserve"> Coordinators </w:t>
      </w:r>
      <w:r w:rsidRPr="009A09FD" w:rsidR="00090B9F">
        <w:rPr>
          <w:snapToGrid w:val="0"/>
        </w:rPr>
        <w:t xml:space="preserve">and the Joint Global Coordinators </w:t>
      </w:r>
      <w:r w:rsidRPr="009A09FD" w:rsidR="0045566B">
        <w:rPr>
          <w:snapToGrid w:val="0"/>
        </w:rPr>
        <w:t xml:space="preserve">at each Time of Delivery an opinion addressed to </w:t>
      </w:r>
      <w:r w:rsidRPr="009A09FD" w:rsidR="00B2374C">
        <w:rPr>
          <w:snapToGrid w:val="0"/>
        </w:rPr>
        <w:t xml:space="preserve">the Joint Sponsors, </w:t>
      </w:r>
      <w:r w:rsidRPr="009A09FD" w:rsidR="0045566B">
        <w:rPr>
          <w:snapToGrid w:val="0"/>
        </w:rPr>
        <w:t xml:space="preserve">the </w:t>
      </w:r>
      <w:r w:rsidRPr="009A09FD" w:rsidR="007B6EB4">
        <w:rPr>
          <w:snapToGrid w:val="0"/>
        </w:rPr>
        <w:t>Overall Coordinators</w:t>
      </w:r>
      <w:r w:rsidRPr="009A09FD" w:rsidR="0045566B">
        <w:rPr>
          <w:snapToGrid w:val="0"/>
        </w:rPr>
        <w:t xml:space="preserve">, </w:t>
      </w:r>
      <w:r w:rsidRPr="009A09FD" w:rsidR="002C6692">
        <w:rPr>
          <w:snapToGrid w:val="0"/>
        </w:rPr>
        <w:t>the Sponsor-</w:t>
      </w:r>
      <w:r w:rsidRPr="009A09FD" w:rsidR="007B6EB4">
        <w:rPr>
          <w:snapToGrid w:val="0"/>
        </w:rPr>
        <w:t>OC</w:t>
      </w:r>
      <w:r w:rsidRPr="009A09FD" w:rsidR="00090B9F">
        <w:rPr>
          <w:snapToGrid w:val="0"/>
        </w:rPr>
        <w:t>, the Joint Global Coordinators</w:t>
      </w:r>
      <w:r w:rsidRPr="009A09FD" w:rsidR="002C6692">
        <w:rPr>
          <w:snapToGrid w:val="0"/>
        </w:rPr>
        <w:t xml:space="preserve"> </w:t>
      </w:r>
      <w:r w:rsidRPr="009A09FD" w:rsidR="0045566B">
        <w:rPr>
          <w:snapToGrid w:val="0"/>
        </w:rPr>
        <w:t xml:space="preserve">and the International Underwriters and dated the applicable Time of Delivery in form and substance satisfactory to the </w:t>
      </w:r>
      <w:r w:rsidRPr="009A09FD" w:rsidR="00EC5AB1">
        <w:rPr>
          <w:snapToGrid w:val="0"/>
        </w:rPr>
        <w:t>Joint Sponsors</w:t>
      </w:r>
      <w:r w:rsidRPr="009A09FD" w:rsidR="00090B9F">
        <w:rPr>
          <w:snapToGrid w:val="0"/>
        </w:rPr>
        <w:t xml:space="preserve">, </w:t>
      </w:r>
      <w:r w:rsidRPr="009A09FD" w:rsidR="00EC5AB1">
        <w:rPr>
          <w:snapToGrid w:val="0"/>
        </w:rPr>
        <w:t xml:space="preserve">the </w:t>
      </w:r>
      <w:r w:rsidRPr="009A09FD" w:rsidR="00A26152">
        <w:rPr>
          <w:snapToGrid w:val="0"/>
        </w:rPr>
        <w:t>Overall Coordinators</w:t>
      </w:r>
      <w:r w:rsidRPr="009A09FD" w:rsidR="00090B9F">
        <w:rPr>
          <w:snapToGrid w:val="0"/>
        </w:rPr>
        <w:t xml:space="preserve"> and the Joint Global Coordinators</w:t>
      </w:r>
      <w:r w:rsidRPr="009A09FD" w:rsidR="00A26152">
        <w:rPr>
          <w:snapToGrid w:val="0"/>
        </w:rPr>
        <w:t>;</w:t>
      </w:r>
    </w:p>
    <w:p w:rsidR="001C5107" w:rsidRPr="009A09FD" w:rsidP="003C6CDA" w14:paraId="3534E4B3" w14:textId="13457A8E">
      <w:pPr>
        <w:pStyle w:val="Heading3"/>
        <w:rPr>
          <w:snapToGrid w:val="0"/>
        </w:rPr>
      </w:pPr>
      <w:r w:rsidRPr="009A09FD">
        <w:rPr>
          <w:b/>
          <w:bCs/>
          <w:snapToGrid w:val="0"/>
        </w:rPr>
        <w:t>[Insert the name of law firm]</w:t>
      </w:r>
      <w:r w:rsidRPr="009A09FD" w:rsidR="0045566B">
        <w:rPr>
          <w:snapToGrid w:val="0"/>
        </w:rPr>
        <w:t xml:space="preserve">, counsel for the Company as to PRC law, shall have furnished to the </w:t>
      </w:r>
      <w:r w:rsidRPr="009A09FD" w:rsidR="00EC5AB1">
        <w:rPr>
          <w:snapToGrid w:val="0"/>
        </w:rPr>
        <w:t>Joint Sponsors</w:t>
      </w:r>
      <w:r w:rsidRPr="009A09FD" w:rsidR="00090B9F">
        <w:rPr>
          <w:snapToGrid w:val="0"/>
        </w:rPr>
        <w:t xml:space="preserve">, </w:t>
      </w:r>
      <w:r w:rsidRPr="009A09FD" w:rsidR="00EC5AB1">
        <w:rPr>
          <w:snapToGrid w:val="0"/>
        </w:rPr>
        <w:t xml:space="preserve">the </w:t>
      </w:r>
      <w:r w:rsidRPr="009A09FD" w:rsidR="00B4550F">
        <w:rPr>
          <w:snapToGrid w:val="0"/>
        </w:rPr>
        <w:t xml:space="preserve">Overall Coordinators </w:t>
      </w:r>
      <w:r w:rsidRPr="009A09FD" w:rsidR="00090B9F">
        <w:rPr>
          <w:snapToGrid w:val="0"/>
        </w:rPr>
        <w:t xml:space="preserve">and the Joint Global Coordinators </w:t>
      </w:r>
      <w:r w:rsidRPr="009A09FD" w:rsidR="0045566B">
        <w:rPr>
          <w:snapToGrid w:val="0"/>
        </w:rPr>
        <w:t xml:space="preserve">at each Time of Delivery copies of its opinion issued to the Company and expressly authorizing disclosure of such opinion to </w:t>
      </w:r>
      <w:bookmarkStart w:id="157" w:name="_Hlk183018479"/>
      <w:r w:rsidRPr="009A09FD" w:rsidR="00B2374C">
        <w:rPr>
          <w:snapToGrid w:val="0"/>
        </w:rPr>
        <w:t xml:space="preserve">the Joint Sponsors, </w:t>
      </w:r>
      <w:r w:rsidRPr="009A09FD" w:rsidR="0045566B">
        <w:rPr>
          <w:snapToGrid w:val="0"/>
        </w:rPr>
        <w:t xml:space="preserve">the </w:t>
      </w:r>
      <w:r w:rsidRPr="009A09FD" w:rsidR="00A72A34">
        <w:rPr>
          <w:snapToGrid w:val="0"/>
        </w:rPr>
        <w:t>Overall Coordinators</w:t>
      </w:r>
      <w:r w:rsidRPr="009A09FD" w:rsidR="00A06D4E">
        <w:rPr>
          <w:snapToGrid w:val="0"/>
        </w:rPr>
        <w:t xml:space="preserve">, </w:t>
      </w:r>
      <w:r w:rsidRPr="009A09FD" w:rsidR="008140C6">
        <w:rPr>
          <w:snapToGrid w:val="0"/>
        </w:rPr>
        <w:t>the Sponsor-OC</w:t>
      </w:r>
      <w:r w:rsidRPr="009A09FD" w:rsidR="00090B9F">
        <w:rPr>
          <w:snapToGrid w:val="0"/>
        </w:rPr>
        <w:t>, the Joint Global Coordinators</w:t>
      </w:r>
      <w:r w:rsidRPr="009A09FD" w:rsidR="0045566B">
        <w:rPr>
          <w:snapToGrid w:val="0"/>
        </w:rPr>
        <w:t xml:space="preserve"> and the </w:t>
      </w:r>
      <w:r w:rsidRPr="009A09FD" w:rsidR="009A2AA2">
        <w:rPr>
          <w:snapToGrid w:val="0"/>
        </w:rPr>
        <w:t xml:space="preserve">International </w:t>
      </w:r>
      <w:r w:rsidRPr="009A09FD" w:rsidR="0045566B">
        <w:rPr>
          <w:snapToGrid w:val="0"/>
        </w:rPr>
        <w:t xml:space="preserve">Underwriters </w:t>
      </w:r>
      <w:bookmarkEnd w:id="157"/>
      <w:r w:rsidRPr="009A09FD" w:rsidR="0045566B">
        <w:rPr>
          <w:snapToGrid w:val="0"/>
        </w:rPr>
        <w:t xml:space="preserve">and dated the applicable Time of Delivery in form and substance satisfactory to the </w:t>
      </w:r>
      <w:r w:rsidRPr="009A09FD" w:rsidR="00EC5AB1">
        <w:rPr>
          <w:snapToGrid w:val="0"/>
        </w:rPr>
        <w:t>Joint Sponsors</w:t>
      </w:r>
      <w:r w:rsidRPr="009A09FD" w:rsidR="00090B9F">
        <w:rPr>
          <w:snapToGrid w:val="0"/>
        </w:rPr>
        <w:t>,</w:t>
      </w:r>
      <w:r w:rsidRPr="009A09FD" w:rsidR="00EC5AB1">
        <w:rPr>
          <w:snapToGrid w:val="0"/>
        </w:rPr>
        <w:t xml:space="preserve"> the </w:t>
      </w:r>
      <w:r w:rsidRPr="009A09FD" w:rsidR="007D523E">
        <w:rPr>
          <w:snapToGrid w:val="0"/>
        </w:rPr>
        <w:t>Overall Coordinators</w:t>
      </w:r>
      <w:r w:rsidRPr="009A09FD" w:rsidR="00090B9F">
        <w:rPr>
          <w:snapToGrid w:val="0"/>
        </w:rPr>
        <w:t xml:space="preserve"> and the Joint Global Coordinators</w:t>
      </w:r>
      <w:r w:rsidRPr="009A09FD" w:rsidR="0045566B">
        <w:rPr>
          <w:snapToGrid w:val="0"/>
        </w:rPr>
        <w:t>;</w:t>
      </w:r>
      <w:bookmarkEnd w:id="156"/>
    </w:p>
    <w:p w:rsidR="00B16D47" w:rsidRPr="009A09FD" w:rsidP="003C6CDA" w14:paraId="18D19C04" w14:textId="58E61407">
      <w:pPr>
        <w:pStyle w:val="Heading3"/>
        <w:rPr>
          <w:snapToGrid w:val="0"/>
        </w:rPr>
      </w:pPr>
      <w:r w:rsidRPr="009A09FD">
        <w:rPr>
          <w:b/>
          <w:bCs/>
          <w:snapToGrid w:val="0"/>
        </w:rPr>
        <w:t>[[Insert the name of law firm]</w:t>
      </w:r>
      <w:r w:rsidRPr="009A09FD">
        <w:rPr>
          <w:snapToGrid w:val="0"/>
        </w:rPr>
        <w:t xml:space="preserve">, counsel for the Company as to U.S. export controls, sanctions, customs, and foreign investment laws and regulations, </w:t>
      </w:r>
      <w:r w:rsidRPr="009A09FD" w:rsidR="006A4E46">
        <w:rPr>
          <w:snapToGrid w:val="0"/>
        </w:rPr>
        <w:t xml:space="preserve">shall have furnished to the </w:t>
      </w:r>
      <w:r w:rsidRPr="009A09FD" w:rsidR="00377E7C">
        <w:rPr>
          <w:snapToGrid w:val="0"/>
        </w:rPr>
        <w:t>Company</w:t>
      </w:r>
      <w:r w:rsidRPr="009A09FD" w:rsidR="00EC5AB1">
        <w:rPr>
          <w:snapToGrid w:val="0"/>
        </w:rPr>
        <w:t>, the Joint Sponsors</w:t>
      </w:r>
      <w:r w:rsidRPr="009A09FD" w:rsidR="00090B9F">
        <w:rPr>
          <w:snapToGrid w:val="0"/>
        </w:rPr>
        <w:t>,</w:t>
      </w:r>
      <w:r w:rsidRPr="009A09FD" w:rsidR="00377E7C">
        <w:rPr>
          <w:snapToGrid w:val="0"/>
        </w:rPr>
        <w:t xml:space="preserve"> the </w:t>
      </w:r>
      <w:r w:rsidRPr="009A09FD" w:rsidR="006A4E46">
        <w:rPr>
          <w:snapToGrid w:val="0"/>
        </w:rPr>
        <w:t>Overall Coordinators</w:t>
      </w:r>
      <w:r w:rsidRPr="009A09FD" w:rsidR="00090B9F">
        <w:rPr>
          <w:snapToGrid w:val="0"/>
        </w:rPr>
        <w:t xml:space="preserve"> and the Joint Global Coordinators</w:t>
      </w:r>
      <w:r w:rsidRPr="009A09FD" w:rsidR="006A4E46">
        <w:rPr>
          <w:snapToGrid w:val="0"/>
        </w:rPr>
        <w:t xml:space="preserve"> at each Time of Delivery a</w:t>
      </w:r>
      <w:r w:rsidRPr="009A09FD" w:rsidR="00715A2D">
        <w:rPr>
          <w:snapToGrid w:val="0"/>
        </w:rPr>
        <w:t xml:space="preserve">n export control opinion </w:t>
      </w:r>
      <w:r w:rsidRPr="009A09FD" w:rsidR="006A4E46">
        <w:rPr>
          <w:snapToGrid w:val="0"/>
        </w:rPr>
        <w:t>addressed to the</w:t>
      </w:r>
      <w:r w:rsidRPr="009A09FD" w:rsidR="00A205BF">
        <w:rPr>
          <w:snapToGrid w:val="0"/>
        </w:rPr>
        <w:t xml:space="preserve"> Company</w:t>
      </w:r>
      <w:r w:rsidRPr="009A09FD" w:rsidR="00EC5AB1">
        <w:rPr>
          <w:snapToGrid w:val="0"/>
        </w:rPr>
        <w:t xml:space="preserve">, the Joint Sponsors, </w:t>
      </w:r>
      <w:r w:rsidRPr="009A09FD" w:rsidR="00A205BF">
        <w:rPr>
          <w:snapToGrid w:val="0"/>
        </w:rPr>
        <w:t>the</w:t>
      </w:r>
      <w:r w:rsidRPr="009A09FD" w:rsidR="006A4E46">
        <w:rPr>
          <w:snapToGrid w:val="0"/>
        </w:rPr>
        <w:t xml:space="preserve"> Overall Coordinators</w:t>
      </w:r>
      <w:r w:rsidRPr="009A09FD" w:rsidR="00090B9F">
        <w:rPr>
          <w:snapToGrid w:val="0"/>
        </w:rPr>
        <w:t xml:space="preserve">, </w:t>
      </w:r>
      <w:r w:rsidRPr="009A09FD" w:rsidR="00450D22">
        <w:rPr>
          <w:snapToGrid w:val="0"/>
        </w:rPr>
        <w:t xml:space="preserve">the Sponsor-OC, </w:t>
      </w:r>
      <w:r w:rsidRPr="009A09FD" w:rsidR="00090B9F">
        <w:rPr>
          <w:snapToGrid w:val="0"/>
        </w:rPr>
        <w:t>the Joint Global Coordinators and</w:t>
      </w:r>
      <w:r w:rsidRPr="009A09FD" w:rsidR="00EC5AB1">
        <w:rPr>
          <w:snapToGrid w:val="0"/>
        </w:rPr>
        <w:t xml:space="preserve"> the </w:t>
      </w:r>
      <w:r w:rsidRPr="009A09FD" w:rsidR="00D15FC2">
        <w:rPr>
          <w:snapToGrid w:val="0"/>
        </w:rPr>
        <w:t xml:space="preserve">International </w:t>
      </w:r>
      <w:r w:rsidRPr="009A09FD" w:rsidR="00EC5AB1">
        <w:rPr>
          <w:snapToGrid w:val="0"/>
        </w:rPr>
        <w:t xml:space="preserve">Underwriters </w:t>
      </w:r>
      <w:r w:rsidRPr="009A09FD" w:rsidR="006A4E46">
        <w:rPr>
          <w:snapToGrid w:val="0"/>
        </w:rPr>
        <w:t xml:space="preserve">and dated the applicable Time of Delivery in form and substance satisfactory to the </w:t>
      </w:r>
      <w:r w:rsidRPr="009A09FD" w:rsidR="00EC5AB1">
        <w:rPr>
          <w:snapToGrid w:val="0"/>
        </w:rPr>
        <w:t>Joint Sponsors</w:t>
      </w:r>
      <w:r w:rsidRPr="009A09FD" w:rsidR="00090B9F">
        <w:rPr>
          <w:snapToGrid w:val="0"/>
        </w:rPr>
        <w:t xml:space="preserve">, </w:t>
      </w:r>
      <w:r w:rsidRPr="009A09FD" w:rsidR="00EC5AB1">
        <w:rPr>
          <w:snapToGrid w:val="0"/>
        </w:rPr>
        <w:t xml:space="preserve">the </w:t>
      </w:r>
      <w:r w:rsidRPr="009A09FD" w:rsidR="006A4E46">
        <w:rPr>
          <w:snapToGrid w:val="0"/>
        </w:rPr>
        <w:t>Overall Coordinators</w:t>
      </w:r>
      <w:r w:rsidRPr="009A09FD" w:rsidR="00090B9F">
        <w:rPr>
          <w:snapToGrid w:val="0"/>
        </w:rPr>
        <w:t xml:space="preserve"> and the Joint Global Coordinators</w:t>
      </w:r>
      <w:r w:rsidRPr="009A09FD">
        <w:rPr>
          <w:snapToGrid w:val="0"/>
        </w:rPr>
        <w:t>]</w:t>
      </w:r>
      <w:r>
        <w:rPr>
          <w:rStyle w:val="FootnoteReference"/>
          <w:snapToGrid w:val="0"/>
        </w:rPr>
        <w:footnoteReference w:id="23"/>
      </w:r>
      <w:r w:rsidRPr="009A09FD" w:rsidR="006A4E46">
        <w:rPr>
          <w:snapToGrid w:val="0"/>
        </w:rPr>
        <w:t>;</w:t>
      </w:r>
    </w:p>
    <w:p w:rsidR="001C5107" w:rsidRPr="009A09FD" w:rsidP="003C6CDA" w14:paraId="493674A7" w14:textId="4E6D865D">
      <w:pPr>
        <w:pStyle w:val="Heading3"/>
        <w:rPr>
          <w:snapToGrid w:val="0"/>
        </w:rPr>
      </w:pPr>
      <w:bookmarkStart w:id="158" w:name="_Ref367265653"/>
      <w:r w:rsidRPr="009A09FD">
        <w:rPr>
          <w:snapToGrid w:val="0"/>
        </w:rPr>
        <w:t xml:space="preserve">the Joint Sponsors, </w:t>
      </w:r>
      <w:r w:rsidRPr="009A09FD" w:rsidR="006A62F4">
        <w:rPr>
          <w:snapToGrid w:val="0"/>
        </w:rPr>
        <w:t xml:space="preserve">the </w:t>
      </w:r>
      <w:r w:rsidRPr="009A09FD" w:rsidR="00A218F9">
        <w:rPr>
          <w:snapToGrid w:val="0"/>
        </w:rPr>
        <w:t>Overall Coordinators</w:t>
      </w:r>
      <w:r w:rsidRPr="009A09FD" w:rsidR="00A80165">
        <w:rPr>
          <w:snapToGrid w:val="0"/>
        </w:rPr>
        <w:t xml:space="preserve"> and the Joint Global Coordinators</w:t>
      </w:r>
      <w:r w:rsidRPr="009A09FD" w:rsidR="00A218F9">
        <w:rPr>
          <w:snapToGrid w:val="0"/>
        </w:rPr>
        <w:t xml:space="preserve"> </w:t>
      </w:r>
      <w:r w:rsidRPr="009A09FD" w:rsidR="006A62F4">
        <w:rPr>
          <w:snapToGrid w:val="0"/>
        </w:rPr>
        <w:t xml:space="preserve">shall have received at each Time of Delivery an opinion </w:t>
      </w:r>
      <w:r w:rsidRPr="009A09FD" w:rsidR="00C660E1">
        <w:rPr>
          <w:snapToGrid w:val="0"/>
        </w:rPr>
        <w:t xml:space="preserve">and a 10b-5 disclosure letter </w:t>
      </w:r>
      <w:r w:rsidRPr="009A09FD" w:rsidR="006A62F4">
        <w:rPr>
          <w:snapToGrid w:val="0"/>
        </w:rPr>
        <w:t xml:space="preserve">of </w:t>
      </w:r>
      <w:r w:rsidRPr="009A09FD" w:rsidR="00797184">
        <w:rPr>
          <w:b/>
          <w:bCs/>
          <w:snapToGrid w:val="0"/>
        </w:rPr>
        <w:t>[</w:t>
      </w:r>
      <w:r w:rsidRPr="009A09FD" w:rsidR="00B93695">
        <w:rPr>
          <w:b/>
          <w:bCs/>
          <w:snapToGrid w:val="0"/>
        </w:rPr>
        <w:t>I</w:t>
      </w:r>
      <w:r w:rsidRPr="009A09FD" w:rsidR="00797184">
        <w:rPr>
          <w:b/>
          <w:bCs/>
          <w:snapToGrid w:val="0"/>
        </w:rPr>
        <w:t>nsert the name of law firm]</w:t>
      </w:r>
      <w:r w:rsidRPr="009A09FD" w:rsidR="006A62F4">
        <w:rPr>
          <w:snapToGrid w:val="0"/>
        </w:rPr>
        <w:t xml:space="preserve">, counsel for the International Underwriters as to U.S. law, dated the applicable Time of Delivery in form and substance satisfactory to </w:t>
      </w:r>
      <w:r w:rsidRPr="009A09FD" w:rsidR="00450D22">
        <w:rPr>
          <w:snapToGrid w:val="0"/>
        </w:rPr>
        <w:t xml:space="preserve">the Joint Sponsors, </w:t>
      </w:r>
      <w:r w:rsidRPr="009A09FD" w:rsidR="006A62F4">
        <w:rPr>
          <w:snapToGrid w:val="0"/>
        </w:rPr>
        <w:t xml:space="preserve">the </w:t>
      </w:r>
      <w:r w:rsidRPr="009A09FD" w:rsidR="00B841B2">
        <w:rPr>
          <w:snapToGrid w:val="0"/>
        </w:rPr>
        <w:t>Overall Coordinators</w:t>
      </w:r>
      <w:r w:rsidRPr="009A09FD" w:rsidR="00A80165">
        <w:rPr>
          <w:snapToGrid w:val="0"/>
        </w:rPr>
        <w:t xml:space="preserve"> and the Joint Global Coordinators</w:t>
      </w:r>
      <w:r w:rsidRPr="009A09FD" w:rsidR="006A62F4">
        <w:rPr>
          <w:snapToGrid w:val="0"/>
        </w:rPr>
        <w:t>;</w:t>
      </w:r>
      <w:bookmarkEnd w:id="158"/>
    </w:p>
    <w:p w:rsidR="001C5107" w:rsidRPr="009A09FD" w:rsidP="003C6CDA" w14:paraId="53903500" w14:textId="208B1D7E">
      <w:pPr>
        <w:pStyle w:val="Heading3"/>
        <w:rPr>
          <w:snapToGrid w:val="0"/>
        </w:rPr>
      </w:pPr>
      <w:bookmarkStart w:id="159" w:name="_Ref367265655"/>
      <w:r w:rsidRPr="009A09FD">
        <w:rPr>
          <w:snapToGrid w:val="0"/>
        </w:rPr>
        <w:t xml:space="preserve">the </w:t>
      </w:r>
      <w:r w:rsidRPr="009A09FD" w:rsidR="00EC5AB1">
        <w:rPr>
          <w:snapToGrid w:val="0"/>
        </w:rPr>
        <w:t>Joint Sponsors</w:t>
      </w:r>
      <w:r w:rsidRPr="009A09FD" w:rsidR="00B2374C">
        <w:rPr>
          <w:snapToGrid w:val="0"/>
        </w:rPr>
        <w:t>,</w:t>
      </w:r>
      <w:r w:rsidRPr="009A09FD" w:rsidR="00EC5AB1">
        <w:rPr>
          <w:snapToGrid w:val="0"/>
        </w:rPr>
        <w:t xml:space="preserve"> the </w:t>
      </w:r>
      <w:r w:rsidRPr="009A09FD" w:rsidR="00DE7169">
        <w:rPr>
          <w:snapToGrid w:val="0"/>
        </w:rPr>
        <w:t xml:space="preserve">Overall Coordinators </w:t>
      </w:r>
      <w:r w:rsidRPr="009A09FD" w:rsidR="00B2374C">
        <w:rPr>
          <w:snapToGrid w:val="0"/>
        </w:rPr>
        <w:t xml:space="preserve">and the Joint Global Coordinators </w:t>
      </w:r>
      <w:r w:rsidRPr="009A09FD">
        <w:rPr>
          <w:snapToGrid w:val="0"/>
        </w:rPr>
        <w:t xml:space="preserve">shall have received at each Time of Delivery an opinion of </w:t>
      </w:r>
      <w:r w:rsidRPr="009A09FD" w:rsidR="00797184">
        <w:rPr>
          <w:b/>
          <w:bCs/>
          <w:snapToGrid w:val="0"/>
        </w:rPr>
        <w:t>[</w:t>
      </w:r>
      <w:r w:rsidRPr="009A09FD" w:rsidR="004A13EE">
        <w:rPr>
          <w:b/>
          <w:bCs/>
          <w:snapToGrid w:val="0"/>
        </w:rPr>
        <w:t>I</w:t>
      </w:r>
      <w:r w:rsidRPr="009A09FD" w:rsidR="00797184">
        <w:rPr>
          <w:b/>
          <w:bCs/>
          <w:snapToGrid w:val="0"/>
        </w:rPr>
        <w:t>nsert the name of law firm]</w:t>
      </w:r>
      <w:r w:rsidRPr="009A09FD">
        <w:rPr>
          <w:snapToGrid w:val="0"/>
        </w:rPr>
        <w:t>, counsel for the International Underwriters as to Hong Kong law, dated the applicable Time of Delivery and in form and substance satisfactory to the</w:t>
      </w:r>
      <w:r w:rsidRPr="009A09FD" w:rsidR="00EC5AB1">
        <w:rPr>
          <w:snapToGrid w:val="0"/>
        </w:rPr>
        <w:t xml:space="preserve"> Joint Sponsors</w:t>
      </w:r>
      <w:r w:rsidRPr="009A09FD" w:rsidR="00A80165">
        <w:rPr>
          <w:snapToGrid w:val="0"/>
        </w:rPr>
        <w:t xml:space="preserve">, </w:t>
      </w:r>
      <w:r w:rsidRPr="009A09FD" w:rsidR="00EC5AB1">
        <w:rPr>
          <w:snapToGrid w:val="0"/>
        </w:rPr>
        <w:t>the</w:t>
      </w:r>
      <w:r w:rsidRPr="009A09FD">
        <w:rPr>
          <w:snapToGrid w:val="0"/>
        </w:rPr>
        <w:t xml:space="preserve"> </w:t>
      </w:r>
      <w:r w:rsidRPr="009A09FD" w:rsidR="00B26FDB">
        <w:rPr>
          <w:snapToGrid w:val="0"/>
        </w:rPr>
        <w:t>Overall Coordinators</w:t>
      </w:r>
      <w:r w:rsidRPr="009A09FD" w:rsidR="00A80165">
        <w:rPr>
          <w:snapToGrid w:val="0"/>
        </w:rPr>
        <w:t xml:space="preserve"> and the Joint Global Coordinators</w:t>
      </w:r>
      <w:r w:rsidRPr="009A09FD">
        <w:rPr>
          <w:snapToGrid w:val="0"/>
        </w:rPr>
        <w:t>;</w:t>
      </w:r>
      <w:bookmarkEnd w:id="159"/>
    </w:p>
    <w:p w:rsidR="001C5107" w:rsidRPr="009A09FD" w:rsidP="003C6CDA" w14:paraId="5E4E1EE2" w14:textId="31ECE678">
      <w:pPr>
        <w:pStyle w:val="Heading3"/>
        <w:rPr>
          <w:snapToGrid w:val="0"/>
        </w:rPr>
      </w:pPr>
      <w:bookmarkStart w:id="160" w:name="_Ref367265656"/>
      <w:r w:rsidRPr="009A09FD">
        <w:rPr>
          <w:snapToGrid w:val="0"/>
        </w:rPr>
        <w:t xml:space="preserve">the Joint Sponsors, </w:t>
      </w:r>
      <w:r w:rsidRPr="009A09FD" w:rsidR="00D14817">
        <w:rPr>
          <w:snapToGrid w:val="0"/>
        </w:rPr>
        <w:t>the Overall Coordinators and the Joint Global Coordinators</w:t>
      </w:r>
      <w:r w:rsidRPr="009A09FD" w:rsidR="00D14817">
        <w:rPr>
          <w:snapToGrid w:val="0"/>
        </w:rPr>
        <w:t xml:space="preserve"> </w:t>
      </w:r>
      <w:r w:rsidRPr="009A09FD" w:rsidR="006A62F4">
        <w:rPr>
          <w:snapToGrid w:val="0"/>
        </w:rPr>
        <w:t xml:space="preserve">shall have received at each Time of Delivery an opinion of </w:t>
      </w:r>
      <w:r w:rsidRPr="009A09FD" w:rsidR="00797184">
        <w:rPr>
          <w:b/>
          <w:bCs/>
          <w:snapToGrid w:val="0"/>
        </w:rPr>
        <w:t>[</w:t>
      </w:r>
      <w:r w:rsidRPr="009A09FD" w:rsidR="004A13EE">
        <w:rPr>
          <w:b/>
          <w:bCs/>
          <w:snapToGrid w:val="0"/>
        </w:rPr>
        <w:t>I</w:t>
      </w:r>
      <w:r w:rsidRPr="009A09FD" w:rsidR="00797184">
        <w:rPr>
          <w:b/>
          <w:bCs/>
          <w:snapToGrid w:val="0"/>
        </w:rPr>
        <w:t>nsert the name of law firm]</w:t>
      </w:r>
      <w:r w:rsidRPr="009A09FD" w:rsidR="006A62F4">
        <w:rPr>
          <w:snapToGrid w:val="0"/>
        </w:rPr>
        <w:t xml:space="preserve">, counsel for the International Underwriters as to PRC law, dated the applicable Time of Delivery and in form and substance satisfactory to the </w:t>
      </w:r>
      <w:r w:rsidRPr="009A09FD" w:rsidR="00EC5AB1">
        <w:rPr>
          <w:snapToGrid w:val="0"/>
        </w:rPr>
        <w:t>Joint Sponsors</w:t>
      </w:r>
      <w:r w:rsidRPr="009A09FD" w:rsidR="00A80165">
        <w:rPr>
          <w:snapToGrid w:val="0"/>
        </w:rPr>
        <w:t>,</w:t>
      </w:r>
      <w:r w:rsidRPr="009A09FD" w:rsidR="00EC5AB1">
        <w:rPr>
          <w:snapToGrid w:val="0"/>
        </w:rPr>
        <w:t xml:space="preserve"> the </w:t>
      </w:r>
      <w:r w:rsidRPr="009A09FD" w:rsidR="001A33F4">
        <w:rPr>
          <w:snapToGrid w:val="0"/>
        </w:rPr>
        <w:t>Overall Coordinators</w:t>
      </w:r>
      <w:r w:rsidRPr="009A09FD" w:rsidR="00A80165">
        <w:rPr>
          <w:snapToGrid w:val="0"/>
        </w:rPr>
        <w:t xml:space="preserve"> and the Joint Global Coordinators</w:t>
      </w:r>
      <w:r w:rsidRPr="009A09FD" w:rsidR="006A62F4">
        <w:rPr>
          <w:snapToGrid w:val="0"/>
        </w:rPr>
        <w:t>;</w:t>
      </w:r>
      <w:bookmarkEnd w:id="160"/>
    </w:p>
    <w:p w:rsidR="001C5107" w:rsidRPr="009A09FD" w:rsidP="003C6CDA" w14:paraId="7603B4CA" w14:textId="6E12EA02">
      <w:pPr>
        <w:pStyle w:val="Heading3"/>
        <w:rPr>
          <w:snapToGrid w:val="0"/>
        </w:rPr>
      </w:pPr>
      <w:bookmarkStart w:id="161" w:name="_Ref367265657"/>
      <w:r w:rsidRPr="009A09FD">
        <w:rPr>
          <w:snapToGrid w:val="0"/>
        </w:rPr>
        <w:t xml:space="preserve">the </w:t>
      </w:r>
      <w:r w:rsidRPr="009A09FD" w:rsidR="00EC5AB1">
        <w:rPr>
          <w:snapToGrid w:val="0"/>
        </w:rPr>
        <w:t>Joint Sponsors</w:t>
      </w:r>
      <w:r w:rsidRPr="009A09FD" w:rsidR="00A80165">
        <w:rPr>
          <w:snapToGrid w:val="0"/>
        </w:rPr>
        <w:t>,</w:t>
      </w:r>
      <w:r w:rsidRPr="009A09FD" w:rsidR="00EC5AB1">
        <w:rPr>
          <w:snapToGrid w:val="0"/>
        </w:rPr>
        <w:t xml:space="preserve"> the </w:t>
      </w:r>
      <w:r w:rsidRPr="009A09FD" w:rsidR="0064366C">
        <w:rPr>
          <w:snapToGrid w:val="0"/>
        </w:rPr>
        <w:t>Overall Coordinators</w:t>
      </w:r>
      <w:r w:rsidRPr="009A09FD" w:rsidR="00A80165">
        <w:rPr>
          <w:snapToGrid w:val="0"/>
        </w:rPr>
        <w:t xml:space="preserve"> and the Joint Global Coordinators</w:t>
      </w:r>
      <w:r w:rsidRPr="009A09FD" w:rsidR="0064366C">
        <w:rPr>
          <w:snapToGrid w:val="0"/>
        </w:rPr>
        <w:t xml:space="preserve"> </w:t>
      </w:r>
      <w:r w:rsidRPr="009A09FD">
        <w:rPr>
          <w:snapToGrid w:val="0"/>
        </w:rPr>
        <w:t xml:space="preserve">shall have received from the Reporting Accountants letters dated, respectively, the date of this Agreement and each Time of Delivery, and addressed to </w:t>
      </w:r>
      <w:r w:rsidRPr="009A09FD" w:rsidR="00FE1BFC">
        <w:rPr>
          <w:snapToGrid w:val="0"/>
        </w:rPr>
        <w:t xml:space="preserve">the Joint Sponsors, the Sponsor-OCs, </w:t>
      </w:r>
      <w:r w:rsidRPr="009A09FD">
        <w:rPr>
          <w:snapToGrid w:val="0"/>
        </w:rPr>
        <w:t xml:space="preserve">the </w:t>
      </w:r>
      <w:r w:rsidRPr="009A09FD" w:rsidR="0084496F">
        <w:rPr>
          <w:snapToGrid w:val="0"/>
        </w:rPr>
        <w:t>Overall Coordinators</w:t>
      </w:r>
      <w:r w:rsidRPr="009A09FD">
        <w:rPr>
          <w:snapToGrid w:val="0"/>
        </w:rPr>
        <w:t xml:space="preserve">, </w:t>
      </w:r>
      <w:r w:rsidRPr="009A09FD" w:rsidR="00A80165">
        <w:rPr>
          <w:snapToGrid w:val="0"/>
        </w:rPr>
        <w:t>the Joint Global Coordinators,</w:t>
      </w:r>
      <w:r w:rsidRPr="009A09FD" w:rsidR="002640CF">
        <w:rPr>
          <w:snapToGrid w:val="0"/>
        </w:rPr>
        <w:t xml:space="preserve"> </w:t>
      </w:r>
      <w:r w:rsidRPr="009A09FD">
        <w:rPr>
          <w:snapToGrid w:val="0"/>
        </w:rPr>
        <w:t>the Joint Bookrunners, the Joint Lead Managers</w:t>
      </w:r>
      <w:r w:rsidRPr="009A09FD" w:rsidR="00162530">
        <w:rPr>
          <w:snapToGrid w:val="0"/>
        </w:rPr>
        <w:t>, the CMIs</w:t>
      </w:r>
      <w:r w:rsidRPr="009A09FD">
        <w:rPr>
          <w:snapToGrid w:val="0"/>
        </w:rPr>
        <w:t xml:space="preserve"> and the International Underwriters, in form and substance satisfactory to the </w:t>
      </w:r>
      <w:r w:rsidRPr="009A09FD" w:rsidR="00EC5AB1">
        <w:rPr>
          <w:snapToGrid w:val="0"/>
        </w:rPr>
        <w:t>Joint Sponsors</w:t>
      </w:r>
      <w:r w:rsidRPr="009A09FD" w:rsidR="00A80165">
        <w:rPr>
          <w:snapToGrid w:val="0"/>
        </w:rPr>
        <w:t>,</w:t>
      </w:r>
      <w:r w:rsidRPr="009A09FD" w:rsidR="00EC5AB1">
        <w:rPr>
          <w:snapToGrid w:val="0"/>
        </w:rPr>
        <w:t xml:space="preserve"> the </w:t>
      </w:r>
      <w:r w:rsidRPr="009A09FD" w:rsidR="00C310EC">
        <w:rPr>
          <w:snapToGrid w:val="0"/>
        </w:rPr>
        <w:t>Overall Coordinators</w:t>
      </w:r>
      <w:r w:rsidRPr="009A09FD" w:rsidR="00A80165">
        <w:rPr>
          <w:snapToGrid w:val="0"/>
        </w:rPr>
        <w:t xml:space="preserve"> and the Joint Global Coordinators</w:t>
      </w:r>
      <w:r w:rsidRPr="009A09FD">
        <w:rPr>
          <w:snapToGrid w:val="0"/>
        </w:rPr>
        <w:t xml:space="preserve">, which letters shall cover, without limitation, the various financial disclosures contained in each of the Disclosure Package and the </w:t>
      </w:r>
      <w:r w:rsidRPr="009A09FD" w:rsidR="005F428E">
        <w:rPr>
          <w:snapToGrid w:val="0"/>
        </w:rPr>
        <w:t>Offering Circular</w:t>
      </w:r>
      <w:r w:rsidRPr="009A09FD">
        <w:rPr>
          <w:snapToGrid w:val="0"/>
        </w:rPr>
        <w:t>;</w:t>
      </w:r>
      <w:bookmarkEnd w:id="161"/>
    </w:p>
    <w:p w:rsidR="001C5107" w:rsidRPr="009A09FD" w:rsidP="003C6CDA" w14:paraId="073BB0C8" w14:textId="7C50E367">
      <w:pPr>
        <w:pStyle w:val="Heading3"/>
        <w:rPr>
          <w:snapToGrid w:val="0"/>
        </w:rPr>
      </w:pPr>
      <w:r w:rsidRPr="009A09FD">
        <w:rPr>
          <w:snapToGrid w:val="0"/>
        </w:rPr>
        <w:t xml:space="preserve">the </w:t>
      </w:r>
      <w:r w:rsidRPr="009A09FD" w:rsidR="00EC5AB1">
        <w:rPr>
          <w:snapToGrid w:val="0"/>
        </w:rPr>
        <w:t>Joint Sponsors</w:t>
      </w:r>
      <w:r w:rsidRPr="009A09FD" w:rsidR="00A80165">
        <w:rPr>
          <w:snapToGrid w:val="0"/>
        </w:rPr>
        <w:t>,</w:t>
      </w:r>
      <w:r w:rsidRPr="009A09FD" w:rsidR="00EC5AB1">
        <w:rPr>
          <w:snapToGrid w:val="0"/>
        </w:rPr>
        <w:t xml:space="preserve"> the </w:t>
      </w:r>
      <w:r w:rsidRPr="009A09FD" w:rsidR="00132877">
        <w:rPr>
          <w:snapToGrid w:val="0"/>
        </w:rPr>
        <w:t>Overall Coordinators</w:t>
      </w:r>
      <w:r w:rsidRPr="009A09FD" w:rsidR="00A80165">
        <w:rPr>
          <w:snapToGrid w:val="0"/>
        </w:rPr>
        <w:t xml:space="preserve"> and the Joint Global Coordinators</w:t>
      </w:r>
      <w:r w:rsidRPr="009A09FD" w:rsidR="00132877">
        <w:rPr>
          <w:snapToGrid w:val="0"/>
        </w:rPr>
        <w:t xml:space="preserve"> </w:t>
      </w:r>
      <w:r w:rsidRPr="009A09FD" w:rsidR="0045566B">
        <w:rPr>
          <w:snapToGrid w:val="0"/>
        </w:rPr>
        <w:t xml:space="preserve">shall have received written documents from each of the </w:t>
      </w:r>
      <w:r w:rsidRPr="009A09FD" w:rsidR="0045566B">
        <w:rPr>
          <w:rFonts w:hint="eastAsia"/>
          <w:snapToGrid w:val="0"/>
        </w:rPr>
        <w:t>Warrantors</w:t>
      </w:r>
      <w:r w:rsidRPr="009A09FD" w:rsidR="0045566B">
        <w:rPr>
          <w:snapToGrid w:val="0"/>
        </w:rPr>
        <w:t xml:space="preserve"> conforming their authorized agents’ acceptance of the appointments of process service agents in the United States as provided in Section </w:t>
      </w:r>
      <w:r w:rsidRPr="009A09FD" w:rsidR="0045566B">
        <w:rPr>
          <w:snapToGrid w:val="0"/>
        </w:rPr>
        <w:fldChar w:fldCharType="begin"/>
      </w:r>
      <w:r w:rsidRPr="009A09FD" w:rsidR="0045566B">
        <w:rPr>
          <w:snapToGrid w:val="0"/>
        </w:rPr>
        <w:instrText xml:space="preserve"> REF _Ref517407530 \w \h </w:instrText>
      </w:r>
      <w:r w:rsidRPr="009A09FD" w:rsidR="00A469A2">
        <w:rPr>
          <w:snapToGrid w:val="0"/>
        </w:rPr>
        <w:instrText xml:space="preserve"> \* MERGEFORMAT </w:instrText>
      </w:r>
      <w:r w:rsidRPr="009A09FD" w:rsidR="0045566B">
        <w:rPr>
          <w:snapToGrid w:val="0"/>
        </w:rPr>
        <w:fldChar w:fldCharType="separate"/>
      </w:r>
      <w:r w:rsidRPr="009A09FD" w:rsidR="00ED2E07">
        <w:rPr>
          <w:snapToGrid w:val="0"/>
        </w:rPr>
        <w:t>15</w:t>
      </w:r>
      <w:r w:rsidRPr="009A09FD" w:rsidR="0045566B">
        <w:rPr>
          <w:snapToGrid w:val="0"/>
        </w:rPr>
        <w:fldChar w:fldCharType="end"/>
      </w:r>
      <w:r w:rsidRPr="009A09FD" w:rsidR="0045566B">
        <w:rPr>
          <w:snapToGrid w:val="0"/>
        </w:rPr>
        <w:t xml:space="preserve"> hereof on or prior to the first Time of Delivery;</w:t>
      </w:r>
    </w:p>
    <w:p w:rsidR="001C5107" w:rsidRPr="009A09FD" w:rsidP="003C6CDA" w14:paraId="17F9A4D4" w14:textId="63921498">
      <w:pPr>
        <w:pStyle w:val="Heading3"/>
        <w:rPr>
          <w:snapToGrid w:val="0"/>
        </w:rPr>
      </w:pPr>
      <w:bookmarkStart w:id="162" w:name="_Ref367265658"/>
      <w:r w:rsidRPr="009A09FD">
        <w:rPr>
          <w:snapToGrid w:val="0"/>
        </w:rPr>
        <w:t xml:space="preserve">the Company shall have furnished to the </w:t>
      </w:r>
      <w:r w:rsidRPr="009A09FD" w:rsidR="00EC5AB1">
        <w:rPr>
          <w:snapToGrid w:val="0"/>
        </w:rPr>
        <w:t>Joint Sponsors</w:t>
      </w:r>
      <w:r w:rsidRPr="009A09FD" w:rsidR="00A80165">
        <w:rPr>
          <w:snapToGrid w:val="0"/>
        </w:rPr>
        <w:t xml:space="preserve">, </w:t>
      </w:r>
      <w:r w:rsidRPr="009A09FD" w:rsidR="00EC5AB1">
        <w:rPr>
          <w:snapToGrid w:val="0"/>
        </w:rPr>
        <w:t xml:space="preserve">the </w:t>
      </w:r>
      <w:r w:rsidRPr="009A09FD" w:rsidR="001B54D1">
        <w:rPr>
          <w:snapToGrid w:val="0"/>
        </w:rPr>
        <w:t xml:space="preserve">Overall Coordinators </w:t>
      </w:r>
      <w:r w:rsidRPr="009A09FD" w:rsidR="00A80165">
        <w:rPr>
          <w:snapToGrid w:val="0"/>
        </w:rPr>
        <w:t xml:space="preserve">and the Joint Global Coordinators </w:t>
      </w:r>
      <w:r w:rsidRPr="009A09FD">
        <w:rPr>
          <w:snapToGrid w:val="0"/>
        </w:rPr>
        <w:t xml:space="preserve">such other documents and certificates as the </w:t>
      </w:r>
      <w:r w:rsidRPr="009A09FD" w:rsidR="00F8505C">
        <w:rPr>
          <w:snapToGrid w:val="0"/>
        </w:rPr>
        <w:t>Joint Sponsors</w:t>
      </w:r>
      <w:r w:rsidRPr="009A09FD" w:rsidR="00A80165">
        <w:rPr>
          <w:snapToGrid w:val="0"/>
        </w:rPr>
        <w:t>,</w:t>
      </w:r>
      <w:r w:rsidRPr="009A09FD" w:rsidR="00F8505C">
        <w:rPr>
          <w:snapToGrid w:val="0"/>
        </w:rPr>
        <w:t xml:space="preserve"> the </w:t>
      </w:r>
      <w:r w:rsidRPr="009A09FD" w:rsidR="009D596F">
        <w:rPr>
          <w:snapToGrid w:val="0"/>
        </w:rPr>
        <w:t>Overall Coordinators</w:t>
      </w:r>
      <w:r w:rsidRPr="009A09FD" w:rsidR="00A80165">
        <w:rPr>
          <w:snapToGrid w:val="0"/>
        </w:rPr>
        <w:t xml:space="preserve"> and the Joint Global Coordinators</w:t>
      </w:r>
      <w:r w:rsidRPr="009A09FD" w:rsidR="009D596F">
        <w:rPr>
          <w:snapToGrid w:val="0"/>
        </w:rPr>
        <w:t xml:space="preserve"> </w:t>
      </w:r>
      <w:r w:rsidRPr="009A09FD">
        <w:rPr>
          <w:snapToGrid w:val="0"/>
        </w:rPr>
        <w:t>may</w:t>
      </w:r>
      <w:r w:rsidRPr="009A09FD" w:rsidR="00D400CA">
        <w:rPr>
          <w:snapToGrid w:val="0"/>
        </w:rPr>
        <w:t xml:space="preserve"> </w:t>
      </w:r>
      <w:r w:rsidRPr="009A09FD">
        <w:rPr>
          <w:snapToGrid w:val="0"/>
        </w:rPr>
        <w:t>request;</w:t>
      </w:r>
      <w:bookmarkEnd w:id="162"/>
    </w:p>
    <w:p w:rsidR="001C5107" w:rsidRPr="009A09FD" w:rsidP="003C6CDA" w14:paraId="5F350705" w14:textId="7097D498">
      <w:pPr>
        <w:pStyle w:val="Heading3"/>
        <w:rPr>
          <w:snapToGrid w:val="0"/>
        </w:rPr>
      </w:pPr>
      <w:bookmarkStart w:id="163" w:name="_Ref367265659"/>
      <w:r w:rsidRPr="009A09FD">
        <w:rPr>
          <w:snapToGrid w:val="0"/>
        </w:rPr>
        <w:t xml:space="preserve">no amendment or supplement to the Disclosure Package or the </w:t>
      </w:r>
      <w:r w:rsidRPr="009A09FD" w:rsidR="005F428E">
        <w:rPr>
          <w:snapToGrid w:val="0"/>
        </w:rPr>
        <w:t>Offering Circular</w:t>
      </w:r>
      <w:r w:rsidRPr="009A09FD">
        <w:rPr>
          <w:snapToGrid w:val="0"/>
        </w:rPr>
        <w:t xml:space="preserve"> shall have been announced, issued, published or delivered to investors without prior written approval by </w:t>
      </w:r>
      <w:r w:rsidRPr="009A09FD" w:rsidR="00AC5D07">
        <w:rPr>
          <w:snapToGrid w:val="0"/>
        </w:rPr>
        <w:t xml:space="preserve">the </w:t>
      </w:r>
      <w:r w:rsidRPr="009A09FD" w:rsidR="009D5AB4">
        <w:rPr>
          <w:snapToGrid w:val="0"/>
        </w:rPr>
        <w:t xml:space="preserve">Joint Sponsors, </w:t>
      </w:r>
      <w:r w:rsidRPr="009A09FD">
        <w:rPr>
          <w:snapToGrid w:val="0"/>
        </w:rPr>
        <w:t xml:space="preserve">the </w:t>
      </w:r>
      <w:r w:rsidRPr="009A09FD" w:rsidR="007E0571">
        <w:rPr>
          <w:snapToGrid w:val="0"/>
        </w:rPr>
        <w:t>Overall Coordinators</w:t>
      </w:r>
      <w:r w:rsidRPr="009A09FD" w:rsidR="00A80165">
        <w:rPr>
          <w:snapToGrid w:val="0"/>
        </w:rPr>
        <w:t xml:space="preserve"> and the Joint Global Coordinators</w:t>
      </w:r>
      <w:r w:rsidRPr="009A09FD">
        <w:rPr>
          <w:snapToGrid w:val="0"/>
        </w:rPr>
        <w:t>;</w:t>
      </w:r>
      <w:bookmarkEnd w:id="163"/>
    </w:p>
    <w:p w:rsidR="00080959" w:rsidRPr="009A09FD" w:rsidP="00080959" w14:paraId="59DE5BD0" w14:textId="2C7EEBB3">
      <w:pPr>
        <w:pStyle w:val="Heading3"/>
        <w:rPr>
          <w:snapToGrid w:val="0"/>
        </w:rPr>
      </w:pPr>
      <w:bookmarkStart w:id="164" w:name="_Ref367265660"/>
      <w:r w:rsidRPr="009A09FD">
        <w:rPr>
          <w:snapToGrid w:val="0"/>
        </w:rPr>
        <w:t>prior to and at each Time of Delivery, none of the Disclosure Package and the Offering Circular shall include an untrue statement of a material fact or omit to state a material fact necessary in order to make the statements therein, in the light of the circumstances under which they are made, not misleading;</w:t>
      </w:r>
      <w:bookmarkEnd w:id="164"/>
    </w:p>
    <w:p w:rsidR="001C5107" w:rsidRPr="009A09FD" w:rsidP="003C6CDA" w14:paraId="16A22FCA" w14:textId="125D1031">
      <w:pPr>
        <w:pStyle w:val="Heading3"/>
        <w:rPr>
          <w:snapToGrid w:val="0"/>
        </w:rPr>
      </w:pPr>
      <w:bookmarkStart w:id="165" w:name="_Ref367265661"/>
      <w:r w:rsidRPr="009A09FD">
        <w:rPr>
          <w:snapToGrid w:val="0"/>
        </w:rPr>
        <w:t>none of the directors of the Company shall have revoked or withdrawn the authority and confirmations in the responsibility letter, statement of interests and power of attorney issued by him or her to the Company</w:t>
      </w:r>
      <w:r w:rsidRPr="009A09FD">
        <w:rPr>
          <w:rFonts w:hint="eastAsia"/>
          <w:snapToGrid w:val="0"/>
        </w:rPr>
        <w:t xml:space="preserve">, </w:t>
      </w:r>
      <w:r w:rsidRPr="009A09FD" w:rsidR="009D5AB4">
        <w:rPr>
          <w:snapToGrid w:val="0"/>
        </w:rPr>
        <w:t xml:space="preserve">the Joint Sponsors, </w:t>
      </w:r>
      <w:r w:rsidRPr="009A09FD">
        <w:rPr>
          <w:snapToGrid w:val="0"/>
        </w:rPr>
        <w:t xml:space="preserve">the </w:t>
      </w:r>
      <w:r w:rsidRPr="009A09FD" w:rsidR="00347A3F">
        <w:rPr>
          <w:snapToGrid w:val="0"/>
        </w:rPr>
        <w:t>Overall Coordinators</w:t>
      </w:r>
      <w:r w:rsidRPr="009A09FD" w:rsidR="009D5AB4">
        <w:rPr>
          <w:snapToGrid w:val="0"/>
        </w:rPr>
        <w:t xml:space="preserve"> and</w:t>
      </w:r>
      <w:r w:rsidRPr="009A09FD">
        <w:rPr>
          <w:snapToGrid w:val="0"/>
        </w:rPr>
        <w:t xml:space="preserve"> the Joint Global Coordinators, and such authority and confirmations remain in full force and effect;</w:t>
      </w:r>
      <w:bookmarkEnd w:id="165"/>
    </w:p>
    <w:p w:rsidR="001C5107" w:rsidRPr="009A09FD" w:rsidP="003C6CDA" w14:paraId="67100B42" w14:textId="6128C2DD">
      <w:pPr>
        <w:pStyle w:val="Heading3"/>
        <w:rPr>
          <w:snapToGrid w:val="0"/>
        </w:rPr>
      </w:pPr>
      <w:r w:rsidRPr="009A09FD">
        <w:rPr>
          <w:snapToGrid w:val="0"/>
        </w:rPr>
        <w:t xml:space="preserve">since the respective dates as of which information is given in the Disclosure Package or in the </w:t>
      </w:r>
      <w:r w:rsidRPr="009A09FD" w:rsidR="005F428E">
        <w:rPr>
          <w:snapToGrid w:val="0"/>
        </w:rPr>
        <w:t>Offering Circular</w:t>
      </w:r>
      <w:r w:rsidRPr="009A09FD">
        <w:rPr>
          <w:snapToGrid w:val="0"/>
        </w:rPr>
        <w:t>, there shall not have been any change that would, or could reasonably be expected to, individually or in the aggregate, have a Material Adverse Effect</w:t>
      </w:r>
      <w:r w:rsidRPr="009A09FD" w:rsidR="00080959">
        <w:t>, or result in any development involving a prospective Material Adverse Effect</w:t>
      </w:r>
      <w:r w:rsidRPr="009A09FD">
        <w:rPr>
          <w:snapToGrid w:val="0"/>
        </w:rPr>
        <w:t xml:space="preserve">, whether or not arising in the ordinary course of business, the effect of which is in the sole and final judgment </w:t>
      </w:r>
      <w:r w:rsidRPr="009A09FD" w:rsidR="009D5AB4">
        <w:rPr>
          <w:snapToGrid w:val="0"/>
        </w:rPr>
        <w:t>of the Joint Sponsors,</w:t>
      </w:r>
      <w:r w:rsidRPr="009A09FD">
        <w:rPr>
          <w:snapToGrid w:val="0"/>
        </w:rPr>
        <w:t xml:space="preserve"> the </w:t>
      </w:r>
      <w:r w:rsidRPr="009A09FD" w:rsidR="00F0385C">
        <w:rPr>
          <w:rFonts w:hint="eastAsia"/>
          <w:snapToGrid w:val="0"/>
        </w:rPr>
        <w:t>Overall</w:t>
      </w:r>
      <w:r w:rsidRPr="009A09FD" w:rsidR="00F0385C">
        <w:rPr>
          <w:snapToGrid w:val="0"/>
        </w:rPr>
        <w:t xml:space="preserve"> Coordinators</w:t>
      </w:r>
      <w:r w:rsidRPr="009A09FD" w:rsidR="00A80165">
        <w:rPr>
          <w:snapToGrid w:val="0"/>
        </w:rPr>
        <w:t xml:space="preserve"> and the Joint Global Coordinators</w:t>
      </w:r>
      <w:r w:rsidRPr="009A09FD" w:rsidR="00F0385C">
        <w:rPr>
          <w:snapToGrid w:val="0"/>
        </w:rPr>
        <w:t xml:space="preserve"> </w:t>
      </w:r>
      <w:r w:rsidRPr="009A09FD">
        <w:rPr>
          <w:snapToGrid w:val="0"/>
        </w:rPr>
        <w:t xml:space="preserve">so material and adverse as to make it impracticable or inadvisable to proceed with the Global Offering or the delivery of the Offer Shares being delivered at such Time of Delivery on the terms and in the manner contemplated in the Disclosure Package and the </w:t>
      </w:r>
      <w:r w:rsidRPr="009A09FD" w:rsidR="005F428E">
        <w:rPr>
          <w:snapToGrid w:val="0"/>
        </w:rPr>
        <w:t>Offering Circular</w:t>
      </w:r>
      <w:r w:rsidRPr="009A09FD">
        <w:rPr>
          <w:snapToGrid w:val="0"/>
        </w:rPr>
        <w:t>;</w:t>
      </w:r>
    </w:p>
    <w:p w:rsidR="001C5107" w:rsidRPr="009A09FD" w:rsidP="003C6CDA" w14:paraId="6D8CC9A0" w14:textId="49C1937E">
      <w:pPr>
        <w:pStyle w:val="Heading3"/>
        <w:rPr>
          <w:snapToGrid w:val="0"/>
        </w:rPr>
      </w:pPr>
      <w:bookmarkStart w:id="166" w:name="_Ref367265662"/>
      <w:r w:rsidRPr="009A09FD">
        <w:rPr>
          <w:snapToGrid w:val="0"/>
        </w:rPr>
        <w:t>none of the Reporting Accountants</w:t>
      </w:r>
      <w:r w:rsidRPr="009A09FD">
        <w:rPr>
          <w:rFonts w:hint="eastAsia"/>
          <w:snapToGrid w:val="0"/>
        </w:rPr>
        <w:t>,</w:t>
      </w:r>
      <w:r w:rsidRPr="009A09FD">
        <w:rPr>
          <w:snapToGrid w:val="0"/>
        </w:rPr>
        <w:t xml:space="preserve"> the Industry Consultant or </w:t>
      </w:r>
      <w:r w:rsidR="00457775">
        <w:rPr>
          <w:snapToGrid w:val="0"/>
        </w:rPr>
        <w:t xml:space="preserve">any of the experts listed in the section headed “[Appendix </w:t>
      </w:r>
      <w:r w:rsidRPr="00457775" w:rsidR="00457775">
        <w:rPr>
          <w:snapToGrid w:val="0"/>
        </w:rPr>
        <w:t>[ </w:t>
      </w:r>
      <w:r w:rsidRPr="00457775" w:rsidR="00457775">
        <w:rPr>
          <w:rFonts w:ascii="Wingdings 2" w:hAnsi="Wingdings 2"/>
          <w:snapToGrid w:val="0"/>
        </w:rPr>
        <w:sym w:font="Wingdings 2" w:char="F098"/>
      </w:r>
      <w:r w:rsidRPr="00457775" w:rsidR="00457775">
        <w:rPr>
          <w:snapToGrid w:val="0"/>
        </w:rPr>
        <w:t> ]</w:t>
      </w:r>
      <w:r w:rsidR="00457775">
        <w:rPr>
          <w:snapToGrid w:val="0"/>
        </w:rPr>
        <w:t xml:space="preserve">—Statutory and General Information—E. Other Information—Qualification of Experts]” of the Disclosure Package and the Offering Circular </w:t>
      </w:r>
      <w:r w:rsidRPr="009A09FD">
        <w:rPr>
          <w:snapToGrid w:val="0"/>
        </w:rPr>
        <w:t xml:space="preserve">shall have withdrawn its consent to the issue of each of the Disclosure Package and the </w:t>
      </w:r>
      <w:r w:rsidRPr="009A09FD" w:rsidR="005F428E">
        <w:rPr>
          <w:snapToGrid w:val="0"/>
        </w:rPr>
        <w:t>Offering Circular</w:t>
      </w:r>
      <w:r w:rsidRPr="009A09FD">
        <w:rPr>
          <w:snapToGrid w:val="0"/>
        </w:rPr>
        <w:t xml:space="preserve"> with the inclusion of its reports, letters, summaries of valuations</w:t>
      </w:r>
      <w:r w:rsidRPr="009A09FD" w:rsidR="00F829C5">
        <w:rPr>
          <w:snapToGrid w:val="0"/>
        </w:rPr>
        <w:t>,</w:t>
      </w:r>
      <w:r w:rsidRPr="009A09FD">
        <w:rPr>
          <w:snapToGrid w:val="0"/>
        </w:rPr>
        <w:t xml:space="preserve"> opinions</w:t>
      </w:r>
      <w:r w:rsidRPr="009A09FD" w:rsidR="00F829C5">
        <w:rPr>
          <w:snapToGrid w:val="0"/>
        </w:rPr>
        <w:t>, confirmations and/or authorization</w:t>
      </w:r>
      <w:r w:rsidRPr="009A09FD" w:rsidR="005437A2">
        <w:rPr>
          <w:snapToGrid w:val="0"/>
        </w:rPr>
        <w:t>s</w:t>
      </w:r>
      <w:r w:rsidRPr="009A09FD">
        <w:rPr>
          <w:snapToGrid w:val="0"/>
        </w:rPr>
        <w:t xml:space="preserve"> (as the case may be) and references to its name included in the form and context in which it appears in the Disclosure Package or in the </w:t>
      </w:r>
      <w:r w:rsidRPr="009A09FD" w:rsidR="005F428E">
        <w:rPr>
          <w:snapToGrid w:val="0"/>
        </w:rPr>
        <w:t>Offering Circular</w:t>
      </w:r>
      <w:r w:rsidRPr="009A09FD">
        <w:rPr>
          <w:snapToGrid w:val="0"/>
        </w:rPr>
        <w:t>;</w:t>
      </w:r>
      <w:bookmarkEnd w:id="166"/>
    </w:p>
    <w:p w:rsidR="001C5107" w:rsidRPr="009A09FD" w:rsidP="003C6CDA" w14:paraId="4D1FF97C" w14:textId="77777777">
      <w:pPr>
        <w:pStyle w:val="Heading3"/>
        <w:rPr>
          <w:snapToGrid w:val="0"/>
        </w:rPr>
      </w:pPr>
      <w:bookmarkStart w:id="167" w:name="_Ref367265663"/>
      <w:r w:rsidRPr="009A09FD">
        <w:rPr>
          <w:snapToGrid w:val="0"/>
        </w:rPr>
        <w:t>the Company shall have obtained approval from the Stock Exchange granting the listing of, and permission to deal in, the Shares on the Stock Exchange, and such approval shall not have been revoked or suspended;</w:t>
      </w:r>
      <w:bookmarkEnd w:id="167"/>
    </w:p>
    <w:p w:rsidR="001C5107" w:rsidRPr="009A09FD" w:rsidP="003C6CDA" w14:paraId="5EB2D559" w14:textId="3E8D65A7">
      <w:pPr>
        <w:pStyle w:val="Heading3"/>
        <w:rPr>
          <w:snapToGrid w:val="0"/>
        </w:rPr>
      </w:pPr>
      <w:r w:rsidRPr="009A09FD">
        <w:rPr>
          <w:snapToGrid w:val="0"/>
        </w:rPr>
        <w:t xml:space="preserve">all waivers or exemptions stated in the Disclosure Package and the </w:t>
      </w:r>
      <w:r w:rsidRPr="009A09FD" w:rsidR="005F428E">
        <w:rPr>
          <w:snapToGrid w:val="0"/>
        </w:rPr>
        <w:t>Offering Circular</w:t>
      </w:r>
      <w:r w:rsidRPr="009A09FD">
        <w:rPr>
          <w:rFonts w:hint="eastAsia"/>
          <w:snapToGrid w:val="0"/>
        </w:rPr>
        <w:t xml:space="preserve"> </w:t>
      </w:r>
      <w:r w:rsidRPr="009A09FD">
        <w:rPr>
          <w:snapToGrid w:val="0"/>
        </w:rPr>
        <w:t>to be granted by the Stock Exchange or the SFC shall have been granted and not otherwise invalidated, amended or withdrawn</w:t>
      </w:r>
      <w:r w:rsidRPr="009A09FD">
        <w:rPr>
          <w:rFonts w:hint="eastAsia"/>
          <w:snapToGrid w:val="0"/>
        </w:rPr>
        <w:t>;</w:t>
      </w:r>
    </w:p>
    <w:p w:rsidR="001C5107" w:rsidRPr="009A09FD" w:rsidP="003C6CDA" w14:paraId="0DAFA63B" w14:textId="153337BB">
      <w:pPr>
        <w:pStyle w:val="Heading3"/>
        <w:rPr>
          <w:snapToGrid w:val="0"/>
        </w:rPr>
      </w:pPr>
      <w:r w:rsidRPr="009A09FD">
        <w:t>CCASS shall have approved the Shares for book-entry transfer</w:t>
      </w:r>
      <w:r w:rsidRPr="009A09FD" w:rsidR="0045566B">
        <w:rPr>
          <w:snapToGrid w:val="0"/>
        </w:rPr>
        <w:t>;</w:t>
      </w:r>
    </w:p>
    <w:p w:rsidR="006240D8" w:rsidRPr="009A09FD" w:rsidP="003C6CDA" w14:paraId="47DCA2EF" w14:textId="6FA6AEB7">
      <w:pPr>
        <w:pStyle w:val="Heading3"/>
        <w:rPr>
          <w:snapToGrid w:val="0"/>
        </w:rPr>
      </w:pPr>
      <w:bookmarkStart w:id="168" w:name="_Ref367265664"/>
      <w:r w:rsidRPr="009A09FD">
        <w:rPr>
          <w:snapToGrid w:val="0"/>
        </w:rPr>
        <w:t xml:space="preserve">the CSRC having accepted the CSRC Filings and published the filing results in respect of the CSRC Filings on its website, and such notice of acceptance and/or filing results published not having otherwise been rejected, withdrawn, revoked or invalidated prior to </w:t>
      </w:r>
      <w:r w:rsidRPr="009A09FD" w:rsidR="005010B1">
        <w:rPr>
          <w:snapToGrid w:val="0"/>
        </w:rPr>
        <w:t>[</w:t>
      </w:r>
      <w:r w:rsidRPr="009A09FD">
        <w:rPr>
          <w:snapToGrid w:val="0"/>
        </w:rPr>
        <w:t>8:00 a.m.</w:t>
      </w:r>
      <w:r w:rsidRPr="009A09FD" w:rsidR="005010B1">
        <w:rPr>
          <w:snapToGrid w:val="0"/>
        </w:rPr>
        <w:t>]</w:t>
      </w:r>
      <w:r w:rsidRPr="009A09FD">
        <w:rPr>
          <w:snapToGrid w:val="0"/>
        </w:rPr>
        <w:t xml:space="preserve"> on the Listing Date</w:t>
      </w:r>
      <w:r w:rsidRPr="009A09FD" w:rsidR="00A325A4">
        <w:rPr>
          <w:snapToGrid w:val="0"/>
        </w:rPr>
        <w:t>;</w:t>
      </w:r>
    </w:p>
    <w:p w:rsidR="001C5107" w:rsidRPr="009A09FD" w:rsidP="003C6CDA" w14:paraId="2688D251" w14:textId="70B5FA00">
      <w:pPr>
        <w:pStyle w:val="Heading3"/>
        <w:rPr>
          <w:snapToGrid w:val="0"/>
        </w:rPr>
      </w:pPr>
      <w:r w:rsidRPr="009A09FD">
        <w:rPr>
          <w:snapToGrid w:val="0"/>
        </w:rPr>
        <w:t xml:space="preserve">the Hong Kong Underwriting Agreement shall have been executed by the parties thereto, become unconditional (except with respect to the unconditionality of this Agreement) and not have been terminated or otherwise ceased to have effect, and the Hong Kong Public Offering contemplated by the Hong Kong Underwriting Agreement shall have become unconditional and shall be closing substantially concurrently with the closing contemplated hereunder; </w:t>
      </w:r>
      <w:bookmarkEnd w:id="168"/>
      <w:r w:rsidRPr="009A09FD" w:rsidR="006F3A87">
        <w:rPr>
          <w:snapToGrid w:val="0"/>
        </w:rPr>
        <w:t>and</w:t>
      </w:r>
    </w:p>
    <w:p w:rsidR="001C5107" w:rsidRPr="009A09FD" w:rsidP="003C6CDA" w14:paraId="69F93FB2" w14:textId="79AAABF6">
      <w:pPr>
        <w:pStyle w:val="Heading3"/>
        <w:rPr>
          <w:snapToGrid w:val="0"/>
        </w:rPr>
      </w:pPr>
      <w:bookmarkStart w:id="169" w:name="_Ref367265665"/>
      <w:r w:rsidRPr="009A09FD">
        <w:rPr>
          <w:snapToGrid w:val="0"/>
        </w:rPr>
        <w:t xml:space="preserve">subsequent to the respective dates </w:t>
      </w:r>
      <w:r w:rsidRPr="009A09FD" w:rsidR="00107FC9">
        <w:rPr>
          <w:snapToGrid w:val="0"/>
        </w:rPr>
        <w:t xml:space="preserve">as </w:t>
      </w:r>
      <w:r w:rsidRPr="009A09FD">
        <w:rPr>
          <w:snapToGrid w:val="0"/>
        </w:rPr>
        <w:t xml:space="preserve">of which information is given in the Disclosure Package and the </w:t>
      </w:r>
      <w:r w:rsidRPr="009A09FD" w:rsidR="005F428E">
        <w:rPr>
          <w:snapToGrid w:val="0"/>
        </w:rPr>
        <w:t>Offering Circular</w:t>
      </w:r>
      <w:r w:rsidRPr="009A09FD">
        <w:rPr>
          <w:snapToGrid w:val="0"/>
        </w:rPr>
        <w:t>, the Company shall not have purchased any of its issued capital stock, nor declared, paid or otherwise made any dividend or distribution of any kind on its capital stock of any class, nor transferred or distributed any cash or other assets to any third party or Affiliate</w:t>
      </w:r>
      <w:r w:rsidRPr="009A09FD" w:rsidR="006F3A87">
        <w:rPr>
          <w:snapToGrid w:val="0"/>
        </w:rPr>
        <w:t>.</w:t>
      </w:r>
      <w:bookmarkEnd w:id="169"/>
      <w:r w:rsidRPr="009A09FD" w:rsidR="00D710D4">
        <w:rPr>
          <w:snapToGrid w:val="0"/>
        </w:rPr>
        <w:t xml:space="preserve"> </w:t>
      </w:r>
    </w:p>
    <w:p w:rsidR="001C5107" w:rsidRPr="009A09FD" w:rsidP="003C6CDA" w14:paraId="1A0D7A71" w14:textId="2F3AAD70">
      <w:pPr>
        <w:pStyle w:val="Heading1"/>
        <w:rPr>
          <w:snapToGrid w:val="0"/>
        </w:rPr>
      </w:pPr>
      <w:bookmarkStart w:id="170" w:name="_Ref367265666"/>
      <w:bookmarkStart w:id="171" w:name="_Toc517409040"/>
      <w:bookmarkStart w:id="172" w:name="_Toc72862708"/>
      <w:r w:rsidRPr="009A09FD">
        <w:rPr>
          <w:snapToGrid w:val="0"/>
        </w:rPr>
        <w:t>Effective Date of Agreement; Termination</w:t>
      </w:r>
      <w:bookmarkEnd w:id="170"/>
      <w:bookmarkEnd w:id="171"/>
      <w:bookmarkEnd w:id="172"/>
      <w:r>
        <w:rPr>
          <w:rStyle w:val="FootnoteReference"/>
          <w:snapToGrid w:val="0"/>
        </w:rPr>
        <w:footnoteReference w:id="24"/>
      </w:r>
    </w:p>
    <w:p w:rsidR="001C5107" w:rsidRPr="009A09FD" w:rsidP="00EA70E5" w14:paraId="121EEE50" w14:textId="77777777">
      <w:pPr>
        <w:pStyle w:val="Heading3"/>
        <w:rPr>
          <w:snapToGrid w:val="0"/>
        </w:rPr>
      </w:pPr>
      <w:bookmarkStart w:id="173" w:name="_Ref367265667"/>
      <w:r w:rsidRPr="009A09FD">
        <w:rPr>
          <w:snapToGrid w:val="0"/>
        </w:rPr>
        <w:t>This Agreement shall become effective when the parties hereto have executed and delivered this Agreement.</w:t>
      </w:r>
      <w:bookmarkEnd w:id="173"/>
    </w:p>
    <w:p w:rsidR="001C5107" w:rsidRPr="009A09FD" w:rsidP="00EA70E5" w14:paraId="47A91B73" w14:textId="43D4847F">
      <w:pPr>
        <w:pStyle w:val="Heading3"/>
        <w:rPr>
          <w:rFonts w:cs="Arial"/>
          <w:snapToGrid w:val="0"/>
        </w:rPr>
      </w:pPr>
      <w:r w:rsidRPr="009A09FD">
        <w:rPr>
          <w:rFonts w:cs="Arial"/>
          <w:snapToGrid w:val="0"/>
        </w:rPr>
        <w:t xml:space="preserve">If any of the conditions specified in Section </w:t>
      </w:r>
      <w:r w:rsidRPr="009A09FD">
        <w:rPr>
          <w:rFonts w:cs="Arial"/>
          <w:snapToGrid w:val="0"/>
        </w:rPr>
        <w:fldChar w:fldCharType="begin"/>
      </w:r>
      <w:r w:rsidRPr="009A09FD">
        <w:rPr>
          <w:rFonts w:cs="Arial"/>
          <w:snapToGrid w:val="0"/>
        </w:rPr>
        <w:instrText xml:space="preserve"> REF _Ref517407535 \w \h </w:instrText>
      </w:r>
      <w:r w:rsidRPr="009A09FD" w:rsidR="00A469A2">
        <w:rPr>
          <w:snapToGrid w:val="0"/>
        </w:rPr>
        <w:instrText xml:space="preserve"> \* MERGEFORMAT </w:instrText>
      </w:r>
      <w:r w:rsidRPr="009A09FD">
        <w:rPr>
          <w:rFonts w:cs="Arial"/>
          <w:snapToGrid w:val="0"/>
        </w:rPr>
        <w:fldChar w:fldCharType="separate"/>
      </w:r>
      <w:r w:rsidRPr="009A09FD" w:rsidR="00ED2E07">
        <w:rPr>
          <w:rFonts w:cs="Arial"/>
          <w:snapToGrid w:val="0"/>
        </w:rPr>
        <w:t>8</w:t>
      </w:r>
      <w:r w:rsidRPr="009A09FD">
        <w:rPr>
          <w:rFonts w:cs="Arial"/>
          <w:snapToGrid w:val="0"/>
        </w:rPr>
        <w:fldChar w:fldCharType="end"/>
      </w:r>
      <w:r w:rsidRPr="009A09FD">
        <w:rPr>
          <w:rFonts w:cs="Arial"/>
          <w:snapToGrid w:val="0"/>
        </w:rPr>
        <w:t xml:space="preserve"> shall not have been fulfilled when and as required herein, or if any of the certificates, opinions, written statements or letters furnished to the International Underwriters pursuant to Section </w:t>
      </w:r>
      <w:r w:rsidRPr="009A09FD">
        <w:rPr>
          <w:rFonts w:cs="Arial"/>
          <w:snapToGrid w:val="0"/>
        </w:rPr>
        <w:fldChar w:fldCharType="begin"/>
      </w:r>
      <w:r w:rsidRPr="009A09FD">
        <w:rPr>
          <w:rFonts w:cs="Arial"/>
          <w:snapToGrid w:val="0"/>
        </w:rPr>
        <w:instrText xml:space="preserve"> REF _Ref517407539 \w \h </w:instrText>
      </w:r>
      <w:r w:rsidRPr="009A09FD" w:rsidR="00A469A2">
        <w:rPr>
          <w:snapToGrid w:val="0"/>
        </w:rPr>
        <w:instrText xml:space="preserve"> \* MERGEFORMAT </w:instrText>
      </w:r>
      <w:r w:rsidRPr="009A09FD">
        <w:rPr>
          <w:rFonts w:cs="Arial"/>
          <w:snapToGrid w:val="0"/>
        </w:rPr>
        <w:fldChar w:fldCharType="separate"/>
      </w:r>
      <w:r w:rsidRPr="009A09FD" w:rsidR="00ED2E07">
        <w:rPr>
          <w:rFonts w:cs="Arial"/>
          <w:snapToGrid w:val="0"/>
        </w:rPr>
        <w:t>8</w:t>
      </w:r>
      <w:r w:rsidRPr="009A09FD">
        <w:rPr>
          <w:rFonts w:cs="Arial"/>
          <w:snapToGrid w:val="0"/>
        </w:rPr>
        <w:fldChar w:fldCharType="end"/>
      </w:r>
      <w:r w:rsidRPr="009A09FD">
        <w:rPr>
          <w:rFonts w:cs="Arial"/>
          <w:snapToGrid w:val="0"/>
        </w:rPr>
        <w:t xml:space="preserve"> shall not be in all respects satisfactory in form and substance to the </w:t>
      </w:r>
      <w:r w:rsidRPr="009A09FD" w:rsidR="00AD0D16">
        <w:rPr>
          <w:rFonts w:cs="Arial"/>
          <w:snapToGrid w:val="0"/>
        </w:rPr>
        <w:t>Overall Coordinators</w:t>
      </w:r>
      <w:r w:rsidRPr="009A09FD" w:rsidR="00642EB2">
        <w:rPr>
          <w:rFonts w:cs="Arial"/>
          <w:snapToGrid w:val="0"/>
        </w:rPr>
        <w:t xml:space="preserve"> and the Joint Global Coordinators</w:t>
      </w:r>
      <w:r w:rsidRPr="009A09FD">
        <w:rPr>
          <w:rFonts w:cs="Arial"/>
          <w:snapToGrid w:val="0"/>
        </w:rPr>
        <w:t xml:space="preserve">, this Agreement and all obligations of the International Underwriters hereunder may be terminated by the </w:t>
      </w:r>
      <w:r w:rsidRPr="009A09FD" w:rsidR="00CB4A9D">
        <w:rPr>
          <w:rFonts w:cs="Arial"/>
          <w:snapToGrid w:val="0"/>
        </w:rPr>
        <w:t>Overall Coordinators</w:t>
      </w:r>
      <w:r w:rsidRPr="009A09FD" w:rsidR="00642EB2">
        <w:rPr>
          <w:rFonts w:cs="Arial"/>
          <w:snapToGrid w:val="0"/>
        </w:rPr>
        <w:t xml:space="preserve"> and the Joint Global Coordinators</w:t>
      </w:r>
      <w:r w:rsidRPr="009A09FD">
        <w:rPr>
          <w:rFonts w:cs="Arial"/>
          <w:snapToGrid w:val="0"/>
        </w:rPr>
        <w:t xml:space="preserve"> by notice (</w:t>
      </w:r>
      <w:r w:rsidRPr="009A09FD" w:rsidR="006D56BE">
        <w:rPr>
          <w:rFonts w:cs="Arial"/>
          <w:snapToGrid w:val="0"/>
        </w:rPr>
        <w:t xml:space="preserve">in </w:t>
      </w:r>
      <w:r w:rsidRPr="009A09FD">
        <w:rPr>
          <w:rFonts w:cs="Arial"/>
          <w:snapToGrid w:val="0"/>
        </w:rPr>
        <w:t xml:space="preserve">writing) to the Company at, or at any time prior to, the </w:t>
      </w:r>
      <w:r w:rsidRPr="009A09FD" w:rsidR="007823CE">
        <w:rPr>
          <w:rFonts w:cs="Arial"/>
          <w:snapToGrid w:val="0"/>
        </w:rPr>
        <w:t>First Time of Delivery</w:t>
      </w:r>
      <w:r w:rsidRPr="009A09FD" w:rsidR="00080959">
        <w:rPr>
          <w:rFonts w:cs="Arial"/>
          <w:snapToGrid w:val="0"/>
        </w:rPr>
        <w:t xml:space="preserve"> or any </w:t>
      </w:r>
      <w:r w:rsidR="008D2840">
        <w:rPr>
          <w:rFonts w:cs="Arial"/>
          <w:snapToGrid w:val="0"/>
        </w:rPr>
        <w:t>Additional Time of Delivery</w:t>
      </w:r>
      <w:r w:rsidRPr="009A09FD" w:rsidR="00080959">
        <w:rPr>
          <w:rFonts w:cs="Arial"/>
          <w:snapToGrid w:val="0"/>
        </w:rPr>
        <w:t>, as applicable</w:t>
      </w:r>
      <w:r w:rsidRPr="009A09FD">
        <w:rPr>
          <w:rFonts w:cs="Arial"/>
          <w:snapToGrid w:val="0"/>
        </w:rPr>
        <w:t xml:space="preserve">; </w:t>
      </w:r>
      <w:r w:rsidRPr="009A09FD">
        <w:rPr>
          <w:rFonts w:cs="Arial"/>
          <w:b/>
          <w:snapToGrid w:val="0"/>
        </w:rPr>
        <w:t>provided, however, that</w:t>
      </w:r>
      <w:r w:rsidRPr="009A09FD">
        <w:rPr>
          <w:rFonts w:cs="Arial"/>
          <w:snapToGrid w:val="0"/>
        </w:rPr>
        <w:t xml:space="preserve"> the </w:t>
      </w:r>
      <w:r w:rsidRPr="009A09FD" w:rsidR="007B6AEC">
        <w:rPr>
          <w:rFonts w:cs="Arial"/>
          <w:snapToGrid w:val="0"/>
        </w:rPr>
        <w:t xml:space="preserve">Overall Coordinators </w:t>
      </w:r>
      <w:r w:rsidRPr="009A09FD" w:rsidR="00642EB2">
        <w:rPr>
          <w:rFonts w:cs="Arial"/>
          <w:snapToGrid w:val="0"/>
        </w:rPr>
        <w:t xml:space="preserve">and the Joint Global Coordinators </w:t>
      </w:r>
      <w:r w:rsidRPr="009A09FD">
        <w:rPr>
          <w:rFonts w:cs="Arial"/>
          <w:snapToGrid w:val="0"/>
        </w:rPr>
        <w:t xml:space="preserve">may, in their sole and absolute discretion, waive or modify any condition precedent set forth in Section </w:t>
      </w:r>
      <w:r w:rsidRPr="009A09FD">
        <w:rPr>
          <w:rFonts w:cs="Arial"/>
          <w:snapToGrid w:val="0"/>
        </w:rPr>
        <w:fldChar w:fldCharType="begin"/>
      </w:r>
      <w:r w:rsidRPr="009A09FD">
        <w:rPr>
          <w:rFonts w:cs="Arial"/>
          <w:snapToGrid w:val="0"/>
        </w:rPr>
        <w:instrText xml:space="preserve"> REF _Ref517407542 \w \h </w:instrText>
      </w:r>
      <w:r w:rsidRPr="009A09FD" w:rsidR="00A469A2">
        <w:rPr>
          <w:snapToGrid w:val="0"/>
        </w:rPr>
        <w:instrText xml:space="preserve"> \* MERGEFORMAT </w:instrText>
      </w:r>
      <w:r w:rsidRPr="009A09FD">
        <w:rPr>
          <w:rFonts w:cs="Arial"/>
          <w:snapToGrid w:val="0"/>
        </w:rPr>
        <w:fldChar w:fldCharType="separate"/>
      </w:r>
      <w:r w:rsidRPr="009A09FD" w:rsidR="00ED2E07">
        <w:rPr>
          <w:rFonts w:cs="Arial"/>
          <w:snapToGrid w:val="0"/>
        </w:rPr>
        <w:t>8</w:t>
      </w:r>
      <w:r w:rsidRPr="009A09FD">
        <w:rPr>
          <w:rFonts w:cs="Arial"/>
          <w:snapToGrid w:val="0"/>
        </w:rPr>
        <w:fldChar w:fldCharType="end"/>
      </w:r>
      <w:r w:rsidRPr="009A09FD">
        <w:rPr>
          <w:rFonts w:cs="Arial"/>
          <w:snapToGrid w:val="0"/>
        </w:rPr>
        <w:t>.</w:t>
      </w:r>
    </w:p>
    <w:p w:rsidR="001C5107" w:rsidRPr="009A09FD" w:rsidP="00EA70E5" w14:paraId="3D8EE0F2" w14:textId="38A1F890">
      <w:pPr>
        <w:pStyle w:val="Heading3"/>
        <w:rPr>
          <w:rFonts w:cs="Arial"/>
          <w:snapToGrid w:val="0"/>
        </w:rPr>
      </w:pPr>
      <w:bookmarkStart w:id="174" w:name="_Ref308793077"/>
      <w:bookmarkStart w:id="175" w:name="_Ref367265669"/>
      <w:r w:rsidRPr="009A09FD">
        <w:rPr>
          <w:rFonts w:cs="Arial"/>
          <w:snapToGrid w:val="0"/>
        </w:rPr>
        <w:t>In addition,</w:t>
      </w:r>
      <w:r w:rsidRPr="009A09FD">
        <w:rPr>
          <w:rFonts w:cs="Arial"/>
          <w:b/>
          <w:snapToGrid w:val="0"/>
        </w:rPr>
        <w:t xml:space="preserve"> </w:t>
      </w:r>
      <w:r w:rsidRPr="009A09FD">
        <w:rPr>
          <w:rFonts w:cs="Arial"/>
          <w:snapToGrid w:val="0"/>
        </w:rPr>
        <w:t xml:space="preserve">the obligations of the several International Underwriters hereunder shall be subject to termination, if, at any time prior to </w:t>
      </w:r>
      <w:r w:rsidRPr="009A09FD" w:rsidR="005010B1">
        <w:rPr>
          <w:rFonts w:cs="Arial"/>
          <w:snapToGrid w:val="0"/>
        </w:rPr>
        <w:t>[</w:t>
      </w:r>
      <w:r w:rsidRPr="009A09FD">
        <w:rPr>
          <w:rFonts w:cs="Arial"/>
          <w:snapToGrid w:val="0"/>
        </w:rPr>
        <w:t>8:00 a.m.</w:t>
      </w:r>
      <w:r w:rsidRPr="009A09FD" w:rsidR="005010B1">
        <w:rPr>
          <w:rFonts w:cs="Arial"/>
          <w:snapToGrid w:val="0"/>
        </w:rPr>
        <w:t>]</w:t>
      </w:r>
      <w:r w:rsidRPr="009A09FD">
        <w:rPr>
          <w:rFonts w:cs="Arial"/>
          <w:snapToGrid w:val="0"/>
        </w:rPr>
        <w:t>, Hong Kong time, on the date that trading in the Shares commences on the Stock Exchange:</w:t>
      </w:r>
      <w:bookmarkEnd w:id="174"/>
      <w:r w:rsidRPr="009A09FD">
        <w:rPr>
          <w:rFonts w:cs="Arial" w:hint="eastAsia"/>
          <w:snapToGrid w:val="0"/>
        </w:rPr>
        <w:t xml:space="preserve"> </w:t>
      </w:r>
    </w:p>
    <w:p w:rsidR="001C5107" w:rsidRPr="009A09FD" w:rsidP="00EA70E5" w14:paraId="2D587969" w14:textId="77777777">
      <w:pPr>
        <w:pStyle w:val="Heading4"/>
        <w:rPr>
          <w:snapToGrid w:val="0"/>
        </w:rPr>
      </w:pPr>
      <w:bookmarkStart w:id="176" w:name="_Hlk517397346"/>
      <w:r w:rsidRPr="009A09FD">
        <w:rPr>
          <w:snapToGrid w:val="0"/>
        </w:rPr>
        <w:t>there develops, occurs, exists or comes into force:</w:t>
      </w:r>
    </w:p>
    <w:p w:rsidR="00245864" w:rsidRPr="009A09FD" w:rsidP="00245864" w14:paraId="44E48E64" w14:textId="051089D0">
      <w:pPr>
        <w:pStyle w:val="Heading5"/>
        <w:rPr>
          <w:snapToGrid w:val="0"/>
        </w:rPr>
      </w:pPr>
      <w:r w:rsidRPr="009A09FD">
        <w:rPr>
          <w:snapToGrid w:val="0"/>
        </w:rPr>
        <w:t>any new law or regulation or any change or development involving a prospective change</w:t>
      </w:r>
      <w:r w:rsidRPr="009A09FD" w:rsidR="00265E79">
        <w:rPr>
          <w:snapToGrid w:val="0"/>
        </w:rPr>
        <w:t xml:space="preserve"> or any event or series of events or circumstances likely to result in a change or a development involving a prospective change</w:t>
      </w:r>
      <w:r w:rsidRPr="009A09FD">
        <w:rPr>
          <w:snapToGrid w:val="0"/>
        </w:rPr>
        <w:t xml:space="preserve"> </w:t>
      </w:r>
      <w:r w:rsidRPr="009A09FD" w:rsidR="00C81473">
        <w:rPr>
          <w:snapToGrid w:val="0"/>
        </w:rPr>
        <w:t>in existing laws or regulation</w:t>
      </w:r>
      <w:r w:rsidRPr="009A09FD" w:rsidR="00750086">
        <w:rPr>
          <w:snapToGrid w:val="0"/>
        </w:rPr>
        <w:t>s</w:t>
      </w:r>
      <w:r w:rsidRPr="009A09FD">
        <w:rPr>
          <w:snapToGrid w:val="0"/>
        </w:rPr>
        <w:t>, or the interpretation or application thereof by any court or any competent Authority in or affecting Hong Kong, Cayman Islands, [the PRC, the United States, the United Kingdom, the European Union (or any member thereof), Japan, Singapore]</w:t>
      </w:r>
      <w:r>
        <w:rPr>
          <w:rStyle w:val="FootnoteReference"/>
          <w:snapToGrid w:val="0"/>
        </w:rPr>
        <w:footnoteReference w:id="25"/>
      </w:r>
      <w:r w:rsidRPr="009A09FD">
        <w:rPr>
          <w:snapToGrid w:val="0"/>
        </w:rPr>
        <w:t>, or other jurisdictions relevant to the Group or the Global Offering (each a “</w:t>
      </w:r>
      <w:r w:rsidRPr="009A09FD">
        <w:rPr>
          <w:b/>
          <w:bCs/>
          <w:snapToGrid w:val="0"/>
        </w:rPr>
        <w:t>Relevant Jurisdiction</w:t>
      </w:r>
      <w:r w:rsidRPr="009A09FD">
        <w:rPr>
          <w:snapToGrid w:val="0"/>
        </w:rPr>
        <w:t>” and collectively, the “</w:t>
      </w:r>
      <w:r w:rsidRPr="009A09FD">
        <w:rPr>
          <w:b/>
          <w:bCs/>
          <w:snapToGrid w:val="0"/>
        </w:rPr>
        <w:t>Relevant Jurisdictions</w:t>
      </w:r>
      <w:r w:rsidRPr="009A09FD">
        <w:rPr>
          <w:snapToGrid w:val="0"/>
        </w:rPr>
        <w:t xml:space="preserve">”); or </w:t>
      </w:r>
    </w:p>
    <w:p w:rsidR="00245864" w:rsidRPr="009A09FD" w:rsidP="00245864" w14:paraId="0F376667" w14:textId="211C9453">
      <w:pPr>
        <w:pStyle w:val="Heading5"/>
        <w:rPr>
          <w:snapToGrid w:val="0"/>
        </w:rPr>
      </w:pPr>
      <w:r w:rsidRPr="009A09FD">
        <w:rPr>
          <w:snapToGrid w:val="0"/>
        </w:rPr>
        <w:t xml:space="preserve">any change or development involving a prospective change, or any event or series of events or circumstances likely to result in a change or prospective change, in any local, national, regional or international financial, political, military, industrial, economic, fiscal, legal, regulatory, currency, credit or market conditions or sentiments, Taxation, equity securities or </w:t>
      </w:r>
      <w:r w:rsidRPr="009A09FD" w:rsidR="00236CCE">
        <w:rPr>
          <w:snapToGrid w:val="0"/>
        </w:rPr>
        <w:t xml:space="preserve">currency </w:t>
      </w:r>
      <w:r w:rsidRPr="009A09FD">
        <w:rPr>
          <w:snapToGrid w:val="0"/>
        </w:rPr>
        <w:t>exchange rate or controls or any monetary or trading settlement system, or foreign investment regulations (including, without limitation, a devaluation of the Hong Kong dollar, United States dollar or Renminbi against any foreign currencies, a change in the system under which the value of the Hong Kong dollar is linked to that of the United States dollar or the Renminbi is linked to any foreign currency or currencies) or other financial markets (including, without limitation, conditions and sentiments in stock and bond markets, money and foreign exchange markets, the inter-bank markets and credit markets) in or affecting any Relevant Jurisdictions, or affecting an investment in the Offer Shares; or</w:t>
      </w:r>
    </w:p>
    <w:p w:rsidR="00245864" w:rsidRPr="009A09FD" w:rsidP="00245864" w14:paraId="5B602940" w14:textId="442DCE85">
      <w:pPr>
        <w:pStyle w:val="Heading5"/>
        <w:rPr>
          <w:snapToGrid w:val="0"/>
        </w:rPr>
      </w:pPr>
      <w:r w:rsidRPr="009A09FD">
        <w:rPr>
          <w:snapToGrid w:val="0"/>
        </w:rPr>
        <w:t>any event or series of events, or circumstances in the nature of force majeure (including, without limitation, any acts of government, declaration of a regional, national or international emergency or war, calamity, crisis, economic sanctions, strikes, labor disputes, other industrial actions, lock-outs, fire, explosion, flooding, tsunami, earthquake, volcanic eruption, civil commotion, riots, rebellion, public disorder, paralysis in government operations, acts of war, epidemic, pandemic, outbreak or escalation, mutation or aggravation of diseases, accident or interruption or delay in transportation</w:t>
      </w:r>
      <w:r w:rsidRPr="009A09FD" w:rsidR="00EF01F4">
        <w:rPr>
          <w:snapToGrid w:val="0"/>
        </w:rPr>
        <w:t>,</w:t>
      </w:r>
      <w:r w:rsidRPr="009A09FD">
        <w:rPr>
          <w:snapToGrid w:val="0"/>
        </w:rPr>
        <w:t xml:space="preserve"> local, national, regional or international outbreak or escalation of hostilities (whether or not war is or has been declared), act of God or act of terrorism (whether or not responsibility has been claimed)</w:t>
      </w:r>
      <w:r w:rsidRPr="009A09FD" w:rsidR="00382D4D">
        <w:rPr>
          <w:snapToGrid w:val="0"/>
        </w:rPr>
        <w:t>)</w:t>
      </w:r>
      <w:r w:rsidRPr="009A09FD">
        <w:rPr>
          <w:snapToGrid w:val="0"/>
        </w:rPr>
        <w:t xml:space="preserve"> in or affecting any of the Relevant Jurisdictions; or </w:t>
      </w:r>
    </w:p>
    <w:p w:rsidR="00245864" w:rsidRPr="009A09FD" w:rsidP="00245864" w14:paraId="131B600F" w14:textId="71A8913C">
      <w:pPr>
        <w:pStyle w:val="Heading5"/>
        <w:rPr>
          <w:snapToGrid w:val="0"/>
        </w:rPr>
      </w:pPr>
      <w:r w:rsidRPr="009A09FD">
        <w:rPr>
          <w:snapToGrid w:val="0"/>
        </w:rPr>
        <w:t xml:space="preserve">the imposition or declaration of </w:t>
      </w:r>
      <w:r w:rsidRPr="009A09FD" w:rsidR="006A62F4">
        <w:rPr>
          <w:snapToGrid w:val="0"/>
        </w:rPr>
        <w:t xml:space="preserve">any moratorium, suspension or limitation (including without limitation, any imposition of or requirement for any minimum or maximum price limit or price range) </w:t>
      </w:r>
      <w:r w:rsidRPr="009A09FD" w:rsidR="00471F4C">
        <w:rPr>
          <w:snapToGrid w:val="0"/>
        </w:rPr>
        <w:t xml:space="preserve">in or </w:t>
      </w:r>
      <w:r w:rsidRPr="009A09FD" w:rsidR="006A62F4">
        <w:rPr>
          <w:snapToGrid w:val="0"/>
        </w:rPr>
        <w:t xml:space="preserve">on (i) the trading in shares or securities generally on the Stock Exchange, the Shanghai Stock Exchange, the Shenzhen Stock Exchange, the Tokyo Stock Exchange, the Singapore Stock Exchange, the New York Stock Exchange, the NASDAQ Global Market or the London Stock Exchange; or (ii) the trading in any securities of the Company listed or quoted on a stock exchange or an over-the-counter market; or </w:t>
      </w:r>
    </w:p>
    <w:p w:rsidR="00245864" w:rsidRPr="009A09FD" w:rsidP="00245864" w14:paraId="1C40D0D4" w14:textId="02533CA2">
      <w:pPr>
        <w:pStyle w:val="Heading5"/>
        <w:rPr>
          <w:snapToGrid w:val="0"/>
        </w:rPr>
      </w:pPr>
      <w:r w:rsidRPr="009A09FD">
        <w:rPr>
          <w:snapToGrid w:val="0"/>
        </w:rPr>
        <w:t xml:space="preserve">the imposition or declaration of </w:t>
      </w:r>
      <w:r w:rsidRPr="009A09FD" w:rsidR="006A62F4">
        <w:rPr>
          <w:snapToGrid w:val="0"/>
        </w:rPr>
        <w:t>any general moratorium on banking activities in or affecting any of the Relevant Jurisdictions or any disruption in commercial banking or foreign exchange trading or securities settlement or clearing services, procedures or matters in or affecting any of the Relevant Jurisdictions; or</w:t>
      </w:r>
    </w:p>
    <w:p w:rsidR="00245864" w:rsidRPr="009A09FD" w:rsidP="00245864" w14:paraId="7D982363" w14:textId="2C58A50D">
      <w:pPr>
        <w:pStyle w:val="Heading5"/>
        <w:rPr>
          <w:snapToGrid w:val="0"/>
        </w:rPr>
      </w:pPr>
      <w:r w:rsidRPr="009A09FD">
        <w:rPr>
          <w:snapToGrid w:val="0"/>
        </w:rPr>
        <w:t xml:space="preserve">other than with the prior written consent of the Overall Coordinators, the issue or requirement to issue by the Company of a supplement or amendment to the Prospectus or other documents in connection with the offer and sale of the Offer Shares pursuant to the </w:t>
      </w:r>
      <w:r w:rsidRPr="009A09FD" w:rsidR="004B314D">
        <w:rPr>
          <w:snapToGrid w:val="0"/>
        </w:rPr>
        <w:t>C(WUMP)O</w:t>
      </w:r>
      <w:r w:rsidRPr="009A09FD">
        <w:rPr>
          <w:snapToGrid w:val="0"/>
        </w:rPr>
        <w:t xml:space="preserve"> or the Listing Rules or upon any requirement or request of the Stock Exchange and/or the SFC; or</w:t>
      </w:r>
    </w:p>
    <w:p w:rsidR="00245864" w:rsidRPr="009A09FD" w:rsidP="00245864" w14:paraId="50928D04" w14:textId="7FBB08E0">
      <w:pPr>
        <w:pStyle w:val="Heading5"/>
        <w:rPr>
          <w:snapToGrid w:val="0"/>
        </w:rPr>
      </w:pPr>
      <w:r w:rsidRPr="009A09FD">
        <w:rPr>
          <w:snapToGrid w:val="0"/>
        </w:rPr>
        <w:t xml:space="preserve">[the commencement by any Authority or other regulatory or political body or organization of any </w:t>
      </w:r>
      <w:r w:rsidRPr="009A09FD" w:rsidR="00BA1AF9">
        <w:rPr>
          <w:snapToGrid w:val="0"/>
        </w:rPr>
        <w:t xml:space="preserve">public </w:t>
      </w:r>
      <w:r w:rsidRPr="009A09FD">
        <w:rPr>
          <w:snapToGrid w:val="0"/>
        </w:rPr>
        <w:t xml:space="preserve">action or investigation against a Group Company or a director or a senior management member of any Group Company or announcing an intention to </w:t>
      </w:r>
      <w:r w:rsidRPr="009A09FD" w:rsidR="00930C56">
        <w:rPr>
          <w:snapToGrid w:val="0"/>
        </w:rPr>
        <w:t xml:space="preserve">commence any such investigation or </w:t>
      </w:r>
      <w:r w:rsidRPr="009A09FD">
        <w:rPr>
          <w:snapToGrid w:val="0"/>
        </w:rPr>
        <w:t xml:space="preserve">take any such action; or  </w:t>
      </w:r>
    </w:p>
    <w:p w:rsidR="00245864" w:rsidRPr="009A09FD" w:rsidP="00245864" w14:paraId="2138BCA1" w14:textId="135C1859">
      <w:pPr>
        <w:pStyle w:val="Heading5"/>
        <w:rPr>
          <w:snapToGrid w:val="0"/>
        </w:rPr>
      </w:pPr>
      <w:r w:rsidRPr="009A09FD">
        <w:rPr>
          <w:snapToGrid w:val="0"/>
        </w:rPr>
        <w:t xml:space="preserve">the imposition of sanctions or export controls </w:t>
      </w:r>
      <w:r w:rsidRPr="009A09FD" w:rsidR="00C04B41">
        <w:rPr>
          <w:snapToGrid w:val="0"/>
        </w:rPr>
        <w:t xml:space="preserve">in whatever form, directly or indirectly, </w:t>
      </w:r>
      <w:r w:rsidRPr="009A09FD">
        <w:rPr>
          <w:snapToGrid w:val="0"/>
        </w:rPr>
        <w:t xml:space="preserve">on any Group Company or any of the </w:t>
      </w:r>
      <w:r w:rsidRPr="009A09FD" w:rsidR="00684871">
        <w:rPr>
          <w:snapToGrid w:val="0"/>
        </w:rPr>
        <w:t>Warranting</w:t>
      </w:r>
      <w:r w:rsidRPr="009A09FD">
        <w:rPr>
          <w:snapToGrid w:val="0"/>
        </w:rPr>
        <w:t xml:space="preserve"> Shareholders</w:t>
      </w:r>
      <w:r w:rsidRPr="009A09FD" w:rsidR="00C04B41">
        <w:rPr>
          <w:snapToGrid w:val="0"/>
        </w:rPr>
        <w:t xml:space="preserve"> or by or on any Relevant Jurisdiction</w:t>
      </w:r>
      <w:r w:rsidRPr="009A09FD">
        <w:rPr>
          <w:snapToGrid w:val="0"/>
        </w:rPr>
        <w:t>, or the withdrawal of trading privileges which existed on the date of this Agreement, in whatever form, directly or indirectly, by, or for, any Relevant Jurisdiction; or</w:t>
      </w:r>
    </w:p>
    <w:p w:rsidR="00245864" w:rsidRPr="009A09FD" w:rsidP="00245864" w14:paraId="18A92EBA" w14:textId="77777777">
      <w:pPr>
        <w:pStyle w:val="Heading5"/>
        <w:rPr>
          <w:snapToGrid w:val="0"/>
        </w:rPr>
      </w:pPr>
      <w:r w:rsidRPr="009A09FD">
        <w:rPr>
          <w:snapToGrid w:val="0"/>
        </w:rPr>
        <w:t>any valid demand by creditors for repayment or payment of indebtedness of any member of the Group or in respect of which any member of the Group is liable prior to its stated maturity; or</w:t>
      </w:r>
    </w:p>
    <w:p w:rsidR="00245864" w:rsidRPr="009A09FD" w:rsidP="00245864" w14:paraId="2D725EED" w14:textId="69EF2EA0">
      <w:pPr>
        <w:pStyle w:val="Heading5"/>
        <w:rPr>
          <w:snapToGrid w:val="0"/>
        </w:rPr>
      </w:pPr>
      <w:r w:rsidRPr="009A09FD">
        <w:rPr>
          <w:snapToGrid w:val="0"/>
        </w:rPr>
        <w:t>any non-compliance of the Prospectus (or any other documents used in connection with the contemplated offering, allotment, issue, subscription or sale of any of the Offer Shares)</w:t>
      </w:r>
      <w:r w:rsidRPr="009A09FD" w:rsidR="00182125">
        <w:rPr>
          <w:snapToGrid w:val="0"/>
        </w:rPr>
        <w:t>, the CSRC Filing</w:t>
      </w:r>
      <w:r w:rsidRPr="009A09FD">
        <w:rPr>
          <w:snapToGrid w:val="0"/>
        </w:rPr>
        <w:t xml:space="preserve"> or any aspect of the Global Offering with the Listing Rules or any other applicable Laws; or</w:t>
      </w:r>
    </w:p>
    <w:p w:rsidR="00245864" w:rsidRPr="009A09FD" w:rsidP="00245864" w14:paraId="17B07D45" w14:textId="13FB8872">
      <w:pPr>
        <w:pStyle w:val="Heading5"/>
        <w:rPr>
          <w:snapToGrid w:val="0"/>
        </w:rPr>
      </w:pPr>
      <w:r w:rsidRPr="009A09FD">
        <w:rPr>
          <w:snapToGrid w:val="0"/>
        </w:rPr>
        <w:t xml:space="preserve">any litigation, dispute, legal action or claim or regulatory or administrative investigation or action being threatened, instigated or announced against any member of the Group or any </w:t>
      </w:r>
      <w:r w:rsidRPr="009A09FD" w:rsidR="00684871">
        <w:rPr>
          <w:snapToGrid w:val="0"/>
        </w:rPr>
        <w:t>Warranting</w:t>
      </w:r>
      <w:r w:rsidRPr="009A09FD">
        <w:rPr>
          <w:snapToGrid w:val="0"/>
        </w:rPr>
        <w:t xml:space="preserve"> Shareholder or any Director or senior management members as named in the Prospectus; or</w:t>
      </w:r>
    </w:p>
    <w:p w:rsidR="00245864" w:rsidRPr="009A09FD" w:rsidP="00245864" w14:paraId="68C28B5E" w14:textId="7D525038">
      <w:pPr>
        <w:pStyle w:val="Heading5"/>
        <w:rPr>
          <w:snapToGrid w:val="0"/>
        </w:rPr>
      </w:pPr>
      <w:r w:rsidRPr="009A09FD">
        <w:rPr>
          <w:snapToGrid w:val="0"/>
        </w:rPr>
        <w:t xml:space="preserve">any contravention by any Group </w:t>
      </w:r>
      <w:r w:rsidRPr="009A09FD" w:rsidR="00BA1AF9">
        <w:rPr>
          <w:snapToGrid w:val="0"/>
        </w:rPr>
        <w:t xml:space="preserve">Company </w:t>
      </w:r>
      <w:r w:rsidRPr="009A09FD">
        <w:rPr>
          <w:snapToGrid w:val="0"/>
        </w:rPr>
        <w:t>or any Director of the Listing Rules or applicable Laws; or</w:t>
      </w:r>
    </w:p>
    <w:p w:rsidR="00C92C24" w:rsidRPr="009A09FD" w:rsidP="00245864" w14:paraId="586FA5F4" w14:textId="0A69840C">
      <w:pPr>
        <w:pStyle w:val="Heading5"/>
        <w:rPr>
          <w:snapToGrid w:val="0"/>
        </w:rPr>
      </w:pPr>
      <w:r w:rsidRPr="009A09FD">
        <w:rPr>
          <w:snapToGrid w:val="0"/>
        </w:rPr>
        <w:t>any change or prospective change, or a materialization of, any of the risks set out in the section headed "Risk Factors" in the Prospectus,</w:t>
      </w:r>
    </w:p>
    <w:p w:rsidR="00997B57" w:rsidRPr="009A09FD" w:rsidP="00997B57" w14:paraId="729EAB5B" w14:textId="4528B561">
      <w:pPr>
        <w:pStyle w:val="BodyText1"/>
        <w:ind w:left="2160"/>
      </w:pPr>
      <w:r w:rsidRPr="009A09FD">
        <w:rPr>
          <w:szCs w:val="22"/>
        </w:rPr>
        <w:t>which, in any such case individually or in the aggregate, in the sole and absolute opinion of the Joint Sponsors</w:t>
      </w:r>
      <w:r w:rsidRPr="009A09FD" w:rsidR="000F0BF9">
        <w:rPr>
          <w:szCs w:val="22"/>
        </w:rPr>
        <w:t xml:space="preserve"> and</w:t>
      </w:r>
      <w:r w:rsidR="00733CCE">
        <w:rPr>
          <w:szCs w:val="22"/>
        </w:rPr>
        <w:t xml:space="preserve"> </w:t>
      </w:r>
      <w:r w:rsidRPr="009A09FD">
        <w:rPr>
          <w:szCs w:val="22"/>
        </w:rPr>
        <w:t xml:space="preserve">the Overall Coordinators (for themselves and on behalf of the </w:t>
      </w:r>
      <w:r w:rsidRPr="009A09FD" w:rsidR="00371A04">
        <w:rPr>
          <w:szCs w:val="22"/>
        </w:rPr>
        <w:t>International</w:t>
      </w:r>
      <w:r w:rsidRPr="009A09FD">
        <w:rPr>
          <w:szCs w:val="22"/>
        </w:rPr>
        <w:t xml:space="preserve"> Underwriters): (I) has or will or may have a material adverse effect, whether directly or indirectly, on the assets, liabilities, business, general affairs, management, prospects, shareholders’ equity, profits, losses, results of operations, position or condition, financial or otherwise, or performance of the Company or the Group as a whole; (II) has or will or may have a material adverse effect on the success of the Global Offering or the level of indications of interest</w:t>
      </w:r>
      <w:r w:rsidRPr="009A09FD" w:rsidR="00A717BB">
        <w:rPr>
          <w:szCs w:val="22"/>
        </w:rPr>
        <w:t xml:space="preserve"> </w:t>
      </w:r>
      <w:r w:rsidRPr="009A09FD">
        <w:rPr>
          <w:szCs w:val="22"/>
        </w:rPr>
        <w:t xml:space="preserve">under the International Offering; (III) makes or will make or may make it impracticable, inadvisable, inexpedient or incapable for </w:t>
      </w:r>
      <w:r w:rsidRPr="009A09FD" w:rsidR="0016218B">
        <w:rPr>
          <w:szCs w:val="22"/>
        </w:rPr>
        <w:t xml:space="preserve">any material part of this Agreement, </w:t>
      </w:r>
      <w:r w:rsidRPr="009A09FD">
        <w:rPr>
          <w:szCs w:val="22"/>
        </w:rPr>
        <w:t xml:space="preserve">the </w:t>
      </w:r>
      <w:r w:rsidRPr="009A09FD" w:rsidR="00A717BB">
        <w:rPr>
          <w:szCs w:val="22"/>
        </w:rPr>
        <w:t>[</w:t>
      </w:r>
      <w:r w:rsidRPr="009A09FD" w:rsidR="00753B7A">
        <w:rPr>
          <w:szCs w:val="22"/>
        </w:rPr>
        <w:t>International</w:t>
      </w:r>
      <w:r w:rsidRPr="009A09FD">
        <w:rPr>
          <w:szCs w:val="22"/>
        </w:rPr>
        <w:t xml:space="preserve"> Public Offering</w:t>
      </w:r>
      <w:r w:rsidRPr="009A09FD" w:rsidR="00A717BB">
        <w:rPr>
          <w:szCs w:val="22"/>
        </w:rPr>
        <w:t>] [</w:t>
      </w:r>
      <w:r w:rsidRPr="009A09FD" w:rsidR="00A717BB">
        <w:rPr>
          <w:b/>
          <w:bCs/>
          <w:i/>
          <w:iCs/>
          <w:szCs w:val="22"/>
        </w:rPr>
        <w:t>update defined term</w:t>
      </w:r>
      <w:r w:rsidRPr="009A09FD" w:rsidR="00A717BB">
        <w:rPr>
          <w:szCs w:val="22"/>
        </w:rPr>
        <w:t>]</w:t>
      </w:r>
      <w:r w:rsidRPr="009A09FD">
        <w:rPr>
          <w:szCs w:val="22"/>
        </w:rPr>
        <w:t xml:space="preserve"> or the Global Offering </w:t>
      </w:r>
      <w:r w:rsidRPr="009A09FD" w:rsidR="0016218B">
        <w:rPr>
          <w:szCs w:val="22"/>
        </w:rPr>
        <w:t xml:space="preserve">to be performed or implemented as envisaged, or for the International Public Offering and/or the Global Offering </w:t>
      </w:r>
      <w:r w:rsidRPr="009A09FD" w:rsidR="00753B7A">
        <w:rPr>
          <w:szCs w:val="22"/>
        </w:rPr>
        <w:t>to proceed</w:t>
      </w:r>
      <w:r w:rsidRPr="009A09FD">
        <w:rPr>
          <w:szCs w:val="22"/>
        </w:rPr>
        <w:t xml:space="preserve"> or to market the Global Offering or the delivery or distribution of the Offer Shares on the terms and in the manner contemplated by the Offering Documents; or (IV) has or will or may have the effect of making any part of this Agreement (including underwriting) incapable of performance in accordance with its terms or preventing the processing of applications and/or payments pursuant to the Global Offering or pursuant to the underwriting thereof</w:t>
      </w:r>
      <w:r w:rsidRPr="009A09FD" w:rsidR="006F06FF">
        <w:rPr>
          <w:szCs w:val="22"/>
        </w:rPr>
        <w:t>, or</w:t>
      </w:r>
    </w:p>
    <w:p w:rsidR="000850C1" w:rsidRPr="009A09FD" w:rsidP="00EA70E5" w14:paraId="7293B38B" w14:textId="75B09986">
      <w:pPr>
        <w:pStyle w:val="Heading4"/>
        <w:rPr>
          <w:snapToGrid w:val="0"/>
        </w:rPr>
      </w:pPr>
      <w:r w:rsidRPr="009A09FD">
        <w:rPr>
          <w:snapToGrid w:val="0"/>
        </w:rPr>
        <w:t xml:space="preserve">there has come to the notice of any </w:t>
      </w:r>
      <w:r w:rsidR="00850759">
        <w:rPr>
          <w:snapToGrid w:val="0"/>
        </w:rPr>
        <w:t xml:space="preserve">of </w:t>
      </w:r>
      <w:r w:rsidRPr="009A09FD">
        <w:rPr>
          <w:snapToGrid w:val="0"/>
        </w:rPr>
        <w:t>the Joint Sponsors</w:t>
      </w:r>
      <w:r w:rsidRPr="009A09FD" w:rsidR="000F0BF9">
        <w:rPr>
          <w:snapToGrid w:val="0"/>
        </w:rPr>
        <w:t xml:space="preserve"> and</w:t>
      </w:r>
      <w:r w:rsidR="00733CCE">
        <w:rPr>
          <w:snapToGrid w:val="0"/>
        </w:rPr>
        <w:t xml:space="preserve"> </w:t>
      </w:r>
      <w:r w:rsidRPr="009A09FD">
        <w:rPr>
          <w:snapToGrid w:val="0"/>
        </w:rPr>
        <w:t>the Overall Coordinators</w:t>
      </w:r>
      <w:r w:rsidRPr="009A09FD" w:rsidR="00B07552">
        <w:rPr>
          <w:snapToGrid w:val="0"/>
        </w:rPr>
        <w:t xml:space="preserve"> </w:t>
      </w:r>
      <w:r w:rsidRPr="009A09FD">
        <w:rPr>
          <w:snapToGrid w:val="0"/>
        </w:rPr>
        <w:t xml:space="preserve">(for themselves and on behalf of the </w:t>
      </w:r>
      <w:r w:rsidRPr="009A09FD" w:rsidR="00FA7CAE">
        <w:rPr>
          <w:snapToGrid w:val="0"/>
        </w:rPr>
        <w:t>International</w:t>
      </w:r>
      <w:r w:rsidRPr="009A09FD">
        <w:rPr>
          <w:snapToGrid w:val="0"/>
        </w:rPr>
        <w:t xml:space="preserve"> Underwriters)</w:t>
      </w:r>
      <w:r w:rsidRPr="009A09FD" w:rsidR="00997B57">
        <w:rPr>
          <w:snapToGrid w:val="0"/>
        </w:rPr>
        <w:t xml:space="preserve"> that</w:t>
      </w:r>
      <w:r w:rsidRPr="009A09FD">
        <w:rPr>
          <w:snapToGrid w:val="0"/>
        </w:rPr>
        <w:t>:</w:t>
      </w:r>
      <w:r w:rsidRPr="009A09FD" w:rsidR="00997B57">
        <w:rPr>
          <w:snapToGrid w:val="0"/>
        </w:rPr>
        <w:t xml:space="preserve"> </w:t>
      </w:r>
    </w:p>
    <w:p w:rsidR="00997B57" w:rsidRPr="009A09FD" w:rsidP="00997B57" w14:paraId="7B1010DD" w14:textId="5A8A7D25">
      <w:pPr>
        <w:pStyle w:val="Heading5"/>
        <w:rPr>
          <w:snapToGrid w:val="0"/>
        </w:rPr>
      </w:pPr>
      <w:r w:rsidRPr="009A09FD">
        <w:rPr>
          <w:snapToGrid w:val="0"/>
        </w:rPr>
        <w:t xml:space="preserve">any statement contained in any of the Offering Documents, the CSRC Filings and/or any notices, announcements, advertisements, communications or other documents issued or used by or on behalf of the Company in connection with the </w:t>
      </w:r>
      <w:r w:rsidRPr="009A09FD" w:rsidR="0016249F">
        <w:rPr>
          <w:snapToGrid w:val="0"/>
        </w:rPr>
        <w:t>International</w:t>
      </w:r>
      <w:r w:rsidRPr="009A09FD">
        <w:rPr>
          <w:snapToGrid w:val="0"/>
        </w:rPr>
        <w:t xml:space="preserve"> Offering and the Global Offering (including any supplement or amendment thereto) (the </w:t>
      </w:r>
      <w:r w:rsidRPr="009A09FD" w:rsidR="0016249F">
        <w:rPr>
          <w:snapToGrid w:val="0"/>
        </w:rPr>
        <w:t>“</w:t>
      </w:r>
      <w:r w:rsidRPr="009A09FD">
        <w:rPr>
          <w:b/>
          <w:bCs/>
          <w:snapToGrid w:val="0"/>
        </w:rPr>
        <w:t>Global Offering Documents</w:t>
      </w:r>
      <w:r w:rsidRPr="009A09FD" w:rsidR="0016249F">
        <w:rPr>
          <w:snapToGrid w:val="0"/>
        </w:rPr>
        <w:t>”</w:t>
      </w:r>
      <w:r w:rsidRPr="009A09FD">
        <w:rPr>
          <w:snapToGrid w:val="0"/>
        </w:rPr>
        <w:t>) was, when it was issued, or has become untrue, incorrect, inaccurate in any material respect or misleading; or that any estimate, forecast, expression of opinion, intention or expectation contained in any such documents, was, when it was issued, or has become unfair or misleading in any respect or based on untrue, dishonest or unreasonable assumptions or given in bad faith; or</w:t>
      </w:r>
    </w:p>
    <w:p w:rsidR="00997B57" w:rsidRPr="009A09FD" w:rsidP="00997B57" w14:paraId="3263EA98" w14:textId="51F8DA3B">
      <w:pPr>
        <w:pStyle w:val="Heading5"/>
        <w:rPr>
          <w:snapToGrid w:val="0"/>
        </w:rPr>
      </w:pPr>
      <w:r w:rsidRPr="009A09FD">
        <w:rPr>
          <w:snapToGrid w:val="0"/>
        </w:rPr>
        <w:t>any matter has arisen or has been discovered which would, had it arisen or been discovered immediately before the date of the Prospectus, constitute a material omission or misstatement in any Global Offering Document; or</w:t>
      </w:r>
    </w:p>
    <w:p w:rsidR="00997B57" w:rsidRPr="009A09FD" w:rsidP="00997B57" w14:paraId="3E2B89E2" w14:textId="19A7DD49">
      <w:pPr>
        <w:pStyle w:val="Heading5"/>
        <w:rPr>
          <w:snapToGrid w:val="0"/>
        </w:rPr>
      </w:pPr>
      <w:r w:rsidRPr="009A09FD">
        <w:rPr>
          <w:snapToGrid w:val="0"/>
        </w:rPr>
        <w:t xml:space="preserve">any breach of, or any event or circumstance rendering untrue or incorrect or misleading in any respect, any of the </w:t>
      </w:r>
      <w:r w:rsidRPr="009A09FD" w:rsidR="00AA4271">
        <w:rPr>
          <w:snapToGrid w:val="0"/>
        </w:rPr>
        <w:t xml:space="preserve">representations, warranties and undertakings </w:t>
      </w:r>
      <w:r w:rsidRPr="009A09FD">
        <w:rPr>
          <w:snapToGrid w:val="0"/>
        </w:rPr>
        <w:t xml:space="preserve">given by the Company or the </w:t>
      </w:r>
      <w:r w:rsidRPr="009A09FD" w:rsidR="00684871">
        <w:rPr>
          <w:snapToGrid w:val="0"/>
        </w:rPr>
        <w:t>Warranting</w:t>
      </w:r>
      <w:r w:rsidRPr="009A09FD">
        <w:rPr>
          <w:snapToGrid w:val="0"/>
        </w:rPr>
        <w:t xml:space="preserve"> Shareholders in this Agreement or the </w:t>
      </w:r>
      <w:r w:rsidRPr="009A09FD" w:rsidR="0016249F">
        <w:rPr>
          <w:snapToGrid w:val="0"/>
        </w:rPr>
        <w:t xml:space="preserve">Hong Kong </w:t>
      </w:r>
      <w:r w:rsidRPr="009A09FD">
        <w:rPr>
          <w:snapToGrid w:val="0"/>
        </w:rPr>
        <w:t>Underwriting Agreement; or</w:t>
      </w:r>
    </w:p>
    <w:p w:rsidR="00997B57" w:rsidRPr="009A09FD" w:rsidP="00997B57" w14:paraId="27557394" w14:textId="48BE0D78">
      <w:pPr>
        <w:pStyle w:val="Heading5"/>
        <w:rPr>
          <w:snapToGrid w:val="0"/>
        </w:rPr>
      </w:pPr>
      <w:r w:rsidRPr="009A09FD">
        <w:rPr>
          <w:snapToGrid w:val="0"/>
        </w:rPr>
        <w:t xml:space="preserve">any event, act or omission which gives rise or is likely to give rise to any liability of any of the </w:t>
      </w:r>
      <w:r w:rsidRPr="009A09FD" w:rsidR="004C4DB9">
        <w:rPr>
          <w:snapToGrid w:val="0"/>
        </w:rPr>
        <w:t>Company or the Warranting Shareholders</w:t>
      </w:r>
      <w:r w:rsidRPr="009A09FD">
        <w:rPr>
          <w:snapToGrid w:val="0"/>
        </w:rPr>
        <w:t xml:space="preserve"> pursuant to the indemnities in this Agreement; or</w:t>
      </w:r>
    </w:p>
    <w:p w:rsidR="00997B57" w:rsidRPr="009A09FD" w:rsidP="00997B57" w14:paraId="143FAB64" w14:textId="4D9354DD">
      <w:pPr>
        <w:pStyle w:val="Heading5"/>
        <w:rPr>
          <w:snapToGrid w:val="0"/>
        </w:rPr>
      </w:pPr>
      <w:r w:rsidRPr="009A09FD">
        <w:rPr>
          <w:snapToGrid w:val="0"/>
        </w:rPr>
        <w:t xml:space="preserve">any breach of any of the obligations or undertakings imposed upon </w:t>
      </w:r>
      <w:r w:rsidRPr="009A09FD" w:rsidR="009913F8">
        <w:rPr>
          <w:snapToGrid w:val="0"/>
        </w:rPr>
        <w:t>[</w:t>
      </w:r>
      <w:r w:rsidRPr="009A09FD">
        <w:rPr>
          <w:snapToGrid w:val="0"/>
        </w:rPr>
        <w:t xml:space="preserve">the Company or any member of the </w:t>
      </w:r>
      <w:r w:rsidRPr="009A09FD" w:rsidR="00684871">
        <w:rPr>
          <w:snapToGrid w:val="0"/>
        </w:rPr>
        <w:t>Warranting</w:t>
      </w:r>
      <w:r w:rsidRPr="009A09FD">
        <w:rPr>
          <w:snapToGrid w:val="0"/>
        </w:rPr>
        <w:t xml:space="preserve"> Shareholders</w:t>
      </w:r>
      <w:r w:rsidRPr="009A09FD" w:rsidR="009913F8">
        <w:rPr>
          <w:snapToGrid w:val="0"/>
        </w:rPr>
        <w:t>]</w:t>
      </w:r>
      <w:r>
        <w:rPr>
          <w:rStyle w:val="FootnoteReference"/>
          <w:snapToGrid w:val="0"/>
        </w:rPr>
        <w:footnoteReference w:id="26"/>
      </w:r>
      <w:r w:rsidRPr="009A09FD" w:rsidR="00CB78EB">
        <w:rPr>
          <w:snapToGrid w:val="0"/>
        </w:rPr>
        <w:t xml:space="preserve"> or any cornerstone investor (as applicable)</w:t>
      </w:r>
      <w:r w:rsidRPr="009A09FD">
        <w:rPr>
          <w:snapToGrid w:val="0"/>
        </w:rPr>
        <w:t xml:space="preserve"> to this Agreement</w:t>
      </w:r>
      <w:r w:rsidRPr="009A09FD" w:rsidR="00CB78EB">
        <w:rPr>
          <w:snapToGrid w:val="0"/>
        </w:rPr>
        <w:t>,</w:t>
      </w:r>
      <w:r w:rsidRPr="009A09FD">
        <w:rPr>
          <w:snapToGrid w:val="0"/>
        </w:rPr>
        <w:t xml:space="preserve"> the </w:t>
      </w:r>
      <w:r w:rsidRPr="009A09FD" w:rsidR="0016249F">
        <w:rPr>
          <w:snapToGrid w:val="0"/>
        </w:rPr>
        <w:t>Hong Kong</w:t>
      </w:r>
      <w:r w:rsidRPr="009A09FD">
        <w:rPr>
          <w:snapToGrid w:val="0"/>
        </w:rPr>
        <w:t xml:space="preserve"> Underwriting Agreement</w:t>
      </w:r>
      <w:r w:rsidRPr="009A09FD" w:rsidR="00CB78EB">
        <w:rPr>
          <w:snapToGrid w:val="0"/>
        </w:rPr>
        <w:t xml:space="preserve"> or the Cornerstone Investment Agreements</w:t>
      </w:r>
      <w:r w:rsidRPr="009A09FD">
        <w:rPr>
          <w:snapToGrid w:val="0"/>
        </w:rPr>
        <w:t>; or</w:t>
      </w:r>
    </w:p>
    <w:p w:rsidR="00997B57" w:rsidRPr="009A09FD" w:rsidP="00997B57" w14:paraId="699EDEC3" w14:textId="49C71CE4">
      <w:pPr>
        <w:pStyle w:val="Heading5"/>
        <w:rPr>
          <w:snapToGrid w:val="0"/>
        </w:rPr>
      </w:pPr>
      <w:r w:rsidRPr="009A09FD">
        <w:rPr>
          <w:snapToGrid w:val="0"/>
        </w:rPr>
        <w:t xml:space="preserve">there is any change or development involving a prospective change, </w:t>
      </w:r>
      <w:r w:rsidRPr="009A09FD" w:rsidR="00F37847">
        <w:rPr>
          <w:snapToGrid w:val="0"/>
        </w:rPr>
        <w:t xml:space="preserve">constituting or </w:t>
      </w:r>
      <w:r w:rsidRPr="009A09FD">
        <w:rPr>
          <w:snapToGrid w:val="0"/>
        </w:rPr>
        <w:t xml:space="preserve">having a Material Adverse Effect; or </w:t>
      </w:r>
    </w:p>
    <w:p w:rsidR="00997B57" w:rsidRPr="009A09FD" w:rsidP="00997B57" w14:paraId="0ED4CAF7" w14:textId="0EA3D48B">
      <w:pPr>
        <w:pStyle w:val="Heading5"/>
        <w:rPr>
          <w:snapToGrid w:val="0"/>
        </w:rPr>
      </w:pPr>
      <w:r w:rsidRPr="009A09FD">
        <w:rPr>
          <w:snapToGrid w:val="0"/>
        </w:rPr>
        <w:t xml:space="preserve">that the Chairman of the Board, any Director or any member of senior management of the Company </w:t>
      </w:r>
      <w:r w:rsidRPr="009A09FD" w:rsidR="007933DE">
        <w:rPr>
          <w:snapToGrid w:val="0"/>
        </w:rPr>
        <w:t xml:space="preserve">named in the Prospectus </w:t>
      </w:r>
      <w:r w:rsidRPr="009A09FD">
        <w:rPr>
          <w:snapToGrid w:val="0"/>
        </w:rPr>
        <w:t xml:space="preserve">seeks to retire, or is removed from office or vacating his/her office; or </w:t>
      </w:r>
    </w:p>
    <w:p w:rsidR="00997B57" w:rsidRPr="009A09FD" w:rsidP="00997B57" w14:paraId="147B1D55" w14:textId="1A496109">
      <w:pPr>
        <w:pStyle w:val="Heading5"/>
        <w:rPr>
          <w:snapToGrid w:val="0"/>
        </w:rPr>
      </w:pPr>
      <w:r w:rsidRPr="009A09FD">
        <w:rPr>
          <w:snapToGrid w:val="0"/>
        </w:rPr>
        <w:t xml:space="preserve">any Director or any member of senior management of the Company </w:t>
      </w:r>
      <w:r w:rsidRPr="009A09FD" w:rsidR="007933DE">
        <w:rPr>
          <w:snapToGrid w:val="0"/>
        </w:rPr>
        <w:t xml:space="preserve">named in the Prospectus </w:t>
      </w:r>
      <w:r w:rsidRPr="009A09FD">
        <w:rPr>
          <w:snapToGrid w:val="0"/>
        </w:rPr>
        <w:t>is being charged with an indictable offence or prohibited by operation of law or otherwise disqualified from taking part in the management or taking directorship of a company; or</w:t>
      </w:r>
    </w:p>
    <w:p w:rsidR="00997B57" w:rsidRPr="009A09FD" w:rsidP="00997B57" w14:paraId="5220F0D0" w14:textId="57E10053">
      <w:pPr>
        <w:pStyle w:val="Heading5"/>
        <w:rPr>
          <w:snapToGrid w:val="0"/>
        </w:rPr>
      </w:pPr>
      <w:r w:rsidRPr="009A09FD">
        <w:rPr>
          <w:snapToGrid w:val="0"/>
        </w:rPr>
        <w:t xml:space="preserve">the Company withdraws the </w:t>
      </w:r>
      <w:r w:rsidRPr="009A09FD" w:rsidR="00A72A38">
        <w:rPr>
          <w:snapToGrid w:val="0"/>
        </w:rPr>
        <w:t>Prospectus (and/or any other documents used in connection with the subscription or sale of any of the Offer Shares pursuant to the Global Offering)</w:t>
      </w:r>
      <w:r w:rsidRPr="009A09FD">
        <w:rPr>
          <w:snapToGrid w:val="0"/>
        </w:rPr>
        <w:t xml:space="preserve"> or the Global Offering; or</w:t>
      </w:r>
    </w:p>
    <w:p w:rsidR="00997B57" w:rsidRPr="009A09FD" w:rsidP="00997B57" w14:paraId="54C33879" w14:textId="77777777">
      <w:pPr>
        <w:pStyle w:val="Heading5"/>
        <w:rPr>
          <w:snapToGrid w:val="0"/>
        </w:rPr>
      </w:pPr>
      <w:r w:rsidRPr="009A09FD">
        <w:rPr>
          <w:snapToGrid w:val="0"/>
        </w:rPr>
        <w:t>that the approval by the Listing Committee of the listing of, and permission to deal in, the Shares in issue and to be issued pursuant to the Global Offering (including pursuant to any exercise of the Over-allotment Option) is refused or not granted, other than subject to customary conditions, on or before the Listing Date, or if granted, the approval is subsequently withdrawn, cancelled, qualified (other than by customary conditions), revoked or withheld; or</w:t>
      </w:r>
    </w:p>
    <w:p w:rsidR="00997B57" w:rsidRPr="009A09FD" w:rsidP="00997B57" w14:paraId="605A5CC9" w14:textId="204A78D5">
      <w:pPr>
        <w:pStyle w:val="Heading5"/>
        <w:rPr>
          <w:snapToGrid w:val="0"/>
        </w:rPr>
      </w:pPr>
      <w:r w:rsidRPr="009A09FD">
        <w:rPr>
          <w:snapToGrid w:val="0"/>
        </w:rPr>
        <w:t>any person</w:t>
      </w:r>
      <w:r w:rsidRPr="009A09FD" w:rsidR="005B2F87">
        <w:rPr>
          <w:snapToGrid w:val="0"/>
        </w:rPr>
        <w:t xml:space="preserve"> (other than any of the Joint Sponsors)</w:t>
      </w:r>
      <w:r w:rsidRPr="009A09FD">
        <w:rPr>
          <w:snapToGrid w:val="0"/>
        </w:rPr>
        <w:t xml:space="preserve"> has withdrawn its consent to the issue of the Prospectus with the inclusion of its reports, letters</w:t>
      </w:r>
      <w:r w:rsidRPr="009A09FD" w:rsidR="00A46F9F">
        <w:rPr>
          <w:snapToGrid w:val="0"/>
        </w:rPr>
        <w:t xml:space="preserve"> and/or legal opinions</w:t>
      </w:r>
      <w:r w:rsidRPr="009A09FD" w:rsidR="00396070">
        <w:rPr>
          <w:snapToGrid w:val="0"/>
        </w:rPr>
        <w:t xml:space="preserve">, </w:t>
      </w:r>
      <w:r w:rsidRPr="009A09FD">
        <w:rPr>
          <w:snapToGrid w:val="0"/>
        </w:rPr>
        <w:t>(as the case may be) and references to its name included in the form and context in which it respectively appears; or</w:t>
      </w:r>
    </w:p>
    <w:p w:rsidR="00997B57" w:rsidRPr="009A09FD" w:rsidP="00997B57" w14:paraId="05A67B44" w14:textId="77777777">
      <w:pPr>
        <w:pStyle w:val="Heading5"/>
        <w:rPr>
          <w:snapToGrid w:val="0"/>
        </w:rPr>
      </w:pPr>
      <w:r w:rsidRPr="009A09FD">
        <w:rPr>
          <w:snapToGrid w:val="0"/>
        </w:rPr>
        <w:t>any prohibition on the Company for whatever reason from offering, allotting, issuing or selling any of the Offer Shares pursuant to the terms of the Global Offering; or</w:t>
      </w:r>
    </w:p>
    <w:p w:rsidR="00997B57" w:rsidRPr="009A09FD" w:rsidP="00997B57" w14:paraId="5ED396EC" w14:textId="3617ACAD">
      <w:pPr>
        <w:pStyle w:val="Heading5"/>
        <w:rPr>
          <w:snapToGrid w:val="0"/>
        </w:rPr>
      </w:pPr>
      <w:r w:rsidRPr="009A09FD">
        <w:rPr>
          <w:snapToGrid w:val="0"/>
        </w:rPr>
        <w:t xml:space="preserve">any person </w:t>
      </w:r>
      <w:r w:rsidRPr="009A09FD" w:rsidR="00B15B68">
        <w:rPr>
          <w:snapToGrid w:val="0"/>
        </w:rPr>
        <w:t xml:space="preserve">(other than the Joint Sponsors and the Overall Coordinators) </w:t>
      </w:r>
      <w:r w:rsidRPr="009A09FD">
        <w:rPr>
          <w:snapToGrid w:val="0"/>
        </w:rPr>
        <w:t>has withdrawn or sought to withdraw its consent to being named in any of the Offering Documents or to the issue of any of the Offering Documents or</w:t>
      </w:r>
    </w:p>
    <w:p w:rsidR="00997B57" w:rsidRPr="009A09FD" w:rsidP="00997B57" w14:paraId="7651D6EA" w14:textId="77777777">
      <w:pPr>
        <w:pStyle w:val="Heading5"/>
        <w:rPr>
          <w:snapToGrid w:val="0"/>
        </w:rPr>
      </w:pPr>
      <w:r w:rsidRPr="009A09FD">
        <w:rPr>
          <w:snapToGrid w:val="0"/>
        </w:rPr>
        <w:t>an order or petition is presented for the winding-up or liquidation of any member of the Group, or any member of the Group makes any composition or arrangement with its creditors or enters into a scheme of arrangement or any resolution is passed for the winding-up of any member of the Group or a provisional liquidator, receiver or manager is appointed over all or part of the assets or undertaking of any member of the Group or anything analogous thereto occurs in respect of any member of the Group; or</w:t>
      </w:r>
    </w:p>
    <w:p w:rsidR="00997B57" w:rsidRPr="009A09FD" w:rsidP="00997B57" w14:paraId="3CAEC086" w14:textId="77777777">
      <w:pPr>
        <w:pStyle w:val="Heading5"/>
        <w:rPr>
          <w:snapToGrid w:val="0"/>
        </w:rPr>
      </w:pPr>
      <w:r w:rsidRPr="009A09FD">
        <w:rPr>
          <w:snapToGrid w:val="0"/>
        </w:rPr>
        <w:t>(A) the notice of acceptance of the CSRC Filings issued by the CSRC and/or the results of the CSRC Filings published on the website of the CSRC is rejected, withdrawn, revoked or invalidated; or (B) other than with the prior written consent of the Overall Coordinators, the issue or requirement to issue by the Company of a supplement or amendment to the CSRC Filings pursuant to the CSRC Rules or upon any requirement or request of the CSRC; or (C) any non-compliance of the CSRC Filings with the CSRC Rules or any other applicable Laws; or</w:t>
      </w:r>
    </w:p>
    <w:p w:rsidR="00FA7CAE" w:rsidRPr="009A09FD" w:rsidP="00997B57" w14:paraId="5F7EAB32" w14:textId="7F9DB255">
      <w:pPr>
        <w:pStyle w:val="Heading5"/>
        <w:rPr>
          <w:snapToGrid w:val="0"/>
        </w:rPr>
      </w:pPr>
      <w:r w:rsidRPr="009A09FD">
        <w:rPr>
          <w:snapToGrid w:val="0"/>
        </w:rPr>
        <w:t xml:space="preserve">that </w:t>
      </w:r>
      <w:r w:rsidRPr="009A09FD" w:rsidR="00B85063">
        <w:rPr>
          <w:snapToGrid w:val="0"/>
        </w:rPr>
        <w:t xml:space="preserve">(i) </w:t>
      </w:r>
      <w:r w:rsidRPr="009A09FD">
        <w:rPr>
          <w:snapToGrid w:val="0"/>
        </w:rPr>
        <w:t xml:space="preserve">a material portion of the orders placed or confirmed in the bookbuilding process, or </w:t>
      </w:r>
      <w:r w:rsidRPr="009A09FD" w:rsidR="00B85063">
        <w:rPr>
          <w:snapToGrid w:val="0"/>
        </w:rPr>
        <w:t xml:space="preserve">(ii) any </w:t>
      </w:r>
      <w:r w:rsidRPr="009A09FD">
        <w:rPr>
          <w:snapToGrid w:val="0"/>
        </w:rPr>
        <w:t>investment commitment made by any cornerstone investors under the Cornerstone Investment Agreements signed with such cornerstone investors, have been withdrawn, terminated or cancelled</w:t>
      </w:r>
      <w:r w:rsidRPr="009A09FD" w:rsidR="0012069E">
        <w:rPr>
          <w:snapToGrid w:val="0"/>
        </w:rPr>
        <w:t>, as a result of the payment of the relevant investment amount not being received or settled in the stipulated time and manner or otherwise</w:t>
      </w:r>
      <w:r w:rsidRPr="009A09FD">
        <w:rPr>
          <w:snapToGrid w:val="0"/>
        </w:rPr>
        <w:t xml:space="preserve">; </w:t>
      </w:r>
    </w:p>
    <w:p w:rsidR="001C5107" w:rsidRPr="009A09FD" w:rsidP="00EA70E5" w14:paraId="13DF1990" w14:textId="755D5523">
      <w:pPr>
        <w:pStyle w:val="BodyText3"/>
        <w:rPr>
          <w:snapToGrid w:val="0"/>
        </w:rPr>
      </w:pPr>
      <w:r w:rsidRPr="009A09FD">
        <w:rPr>
          <w:snapToGrid w:val="0"/>
        </w:rPr>
        <w:t>then</w:t>
      </w:r>
      <w:r w:rsidRPr="009A09FD" w:rsidR="00371A04">
        <w:rPr>
          <w:snapToGrid w:val="0"/>
        </w:rPr>
        <w:t>, in each case,</w:t>
      </w:r>
      <w:r w:rsidRPr="009A09FD">
        <w:rPr>
          <w:snapToGrid w:val="0"/>
        </w:rPr>
        <w:t xml:space="preserve"> </w:t>
      </w:r>
      <w:r w:rsidRPr="009A09FD" w:rsidR="00A84340">
        <w:rPr>
          <w:snapToGrid w:val="0"/>
        </w:rPr>
        <w:t>the Joint Sponsors</w:t>
      </w:r>
      <w:r w:rsidRPr="009A09FD" w:rsidR="00003D5A">
        <w:rPr>
          <w:snapToGrid w:val="0"/>
        </w:rPr>
        <w:t xml:space="preserve"> and</w:t>
      </w:r>
      <w:r w:rsidR="00733CCE">
        <w:rPr>
          <w:snapToGrid w:val="0"/>
        </w:rPr>
        <w:t xml:space="preserve"> </w:t>
      </w:r>
      <w:r w:rsidRPr="009A09FD">
        <w:rPr>
          <w:snapToGrid w:val="0"/>
        </w:rPr>
        <w:t>the Overall Coordinators</w:t>
      </w:r>
      <w:r w:rsidRPr="009A09FD" w:rsidR="00A84340">
        <w:rPr>
          <w:snapToGrid w:val="0"/>
        </w:rPr>
        <w:t xml:space="preserve"> </w:t>
      </w:r>
      <w:r w:rsidRPr="009A09FD">
        <w:rPr>
          <w:snapToGrid w:val="0"/>
        </w:rPr>
        <w:t xml:space="preserve">(for themselves and on behalf of the </w:t>
      </w:r>
      <w:r w:rsidRPr="009A09FD" w:rsidR="00FA7CAE">
        <w:rPr>
          <w:snapToGrid w:val="0"/>
        </w:rPr>
        <w:t>International</w:t>
      </w:r>
      <w:r w:rsidRPr="009A09FD">
        <w:rPr>
          <w:snapToGrid w:val="0"/>
        </w:rPr>
        <w:t xml:space="preserve"> Underwriters) may, in their sole and absolute discretion and upon giving notice orally or in writing to the Company, terminate this Agreement with immediate effect. </w:t>
      </w:r>
    </w:p>
    <w:p w:rsidR="001C5107" w:rsidRPr="009A09FD" w:rsidP="00EA70E5" w14:paraId="70E452E5" w14:textId="4E55004B">
      <w:pPr>
        <w:pStyle w:val="Heading3"/>
        <w:rPr>
          <w:snapToGrid w:val="0"/>
        </w:rPr>
      </w:pPr>
      <w:bookmarkStart w:id="177" w:name="_Ref367265686"/>
      <w:bookmarkEnd w:id="175"/>
      <w:bookmarkEnd w:id="176"/>
      <w:r w:rsidRPr="009A09FD">
        <w:rPr>
          <w:snapToGrid w:val="0"/>
        </w:rPr>
        <w:t xml:space="preserve">If, after the execution and delivery of this Agreement, the sale and delivery of the Offer Shares, as contemplated by this Agreement, is not carried out as a result of any termination of this Agreement pursuant to this Section </w:t>
      </w:r>
      <w:r w:rsidRPr="009A09FD">
        <w:rPr>
          <w:snapToGrid w:val="0"/>
        </w:rPr>
        <w:fldChar w:fldCharType="begin"/>
      </w:r>
      <w:r w:rsidRPr="009A09FD">
        <w:rPr>
          <w:snapToGrid w:val="0"/>
        </w:rPr>
        <w:instrText xml:space="preserve"> REF _Ref367265666 \r \h  \* MERGEFORMAT </w:instrText>
      </w:r>
      <w:r w:rsidRPr="009A09FD">
        <w:rPr>
          <w:snapToGrid w:val="0"/>
        </w:rPr>
        <w:fldChar w:fldCharType="separate"/>
      </w:r>
      <w:r w:rsidRPr="009A09FD" w:rsidR="00ED2E07">
        <w:rPr>
          <w:snapToGrid w:val="0"/>
        </w:rPr>
        <w:t>9</w:t>
      </w:r>
      <w:r w:rsidRPr="009A09FD">
        <w:rPr>
          <w:snapToGrid w:val="0"/>
        </w:rPr>
        <w:fldChar w:fldCharType="end"/>
      </w:r>
      <w:r w:rsidRPr="009A09FD">
        <w:rPr>
          <w:snapToGrid w:val="0"/>
        </w:rPr>
        <w:t xml:space="preserve"> or any other provision hereof, the Company</w:t>
      </w:r>
      <w:r w:rsidRPr="009A09FD" w:rsidR="00FB7B31">
        <w:rPr>
          <w:snapToGrid w:val="0"/>
        </w:rPr>
        <w:t xml:space="preserve">, </w:t>
      </w:r>
      <w:r w:rsidRPr="009A09FD" w:rsidR="001A0EB3">
        <w:rPr>
          <w:snapToGrid w:val="0"/>
        </w:rPr>
        <w:t xml:space="preserve">the </w:t>
      </w:r>
      <w:r w:rsidRPr="009A09FD" w:rsidR="007823CE">
        <w:rPr>
          <w:snapToGrid w:val="0"/>
        </w:rPr>
        <w:t xml:space="preserve">Warranting Shareholders </w:t>
      </w:r>
      <w:r w:rsidRPr="009A09FD">
        <w:rPr>
          <w:snapToGrid w:val="0"/>
        </w:rPr>
        <w:t xml:space="preserve">shall not be under any obligation or liability under this Agreement (except as provided in </w:t>
      </w:r>
      <w:bookmarkStart w:id="178" w:name="DocXTextRef95"/>
      <w:r w:rsidRPr="009A09FD">
        <w:rPr>
          <w:snapToGrid w:val="0"/>
        </w:rPr>
        <w:t xml:space="preserve">Sections </w:t>
      </w:r>
      <w:bookmarkEnd w:id="178"/>
      <w:r w:rsidRPr="009A09FD">
        <w:rPr>
          <w:snapToGrid w:val="0"/>
        </w:rPr>
        <w:fldChar w:fldCharType="begin"/>
      </w:r>
      <w:r w:rsidRPr="009A09FD">
        <w:rPr>
          <w:snapToGrid w:val="0"/>
        </w:rPr>
        <w:instrText xml:space="preserve"> REF _Ref367265625 \r \h  \* MERGEFORMAT </w:instrText>
      </w:r>
      <w:r w:rsidRPr="009A09FD">
        <w:rPr>
          <w:snapToGrid w:val="0"/>
        </w:rPr>
        <w:fldChar w:fldCharType="separate"/>
      </w:r>
      <w:r w:rsidRPr="009A09FD" w:rsidR="00ED2E07">
        <w:rPr>
          <w:snapToGrid w:val="0"/>
        </w:rPr>
        <w:t>6</w:t>
      </w:r>
      <w:r w:rsidRPr="009A09FD">
        <w:rPr>
          <w:snapToGrid w:val="0"/>
        </w:rPr>
        <w:fldChar w:fldCharType="end"/>
      </w:r>
      <w:r w:rsidRPr="009A09FD">
        <w:rPr>
          <w:snapToGrid w:val="0"/>
        </w:rPr>
        <w:t xml:space="preserve"> and </w:t>
      </w:r>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hereof) and the International Underwriters shall be under no obligation or liability to the Company</w:t>
      </w:r>
      <w:r w:rsidRPr="009A09FD" w:rsidR="004A7D48">
        <w:rPr>
          <w:snapToGrid w:val="0"/>
        </w:rPr>
        <w:t xml:space="preserve">, </w:t>
      </w:r>
      <w:r w:rsidRPr="009A09FD" w:rsidR="00AB3077">
        <w:rPr>
          <w:snapToGrid w:val="0"/>
        </w:rPr>
        <w:t xml:space="preserve">the </w:t>
      </w:r>
      <w:r w:rsidRPr="009A09FD" w:rsidR="007823CE">
        <w:rPr>
          <w:snapToGrid w:val="0"/>
        </w:rPr>
        <w:t xml:space="preserve">Warranting Shareholders </w:t>
      </w:r>
      <w:r w:rsidRPr="009A09FD">
        <w:rPr>
          <w:snapToGrid w:val="0"/>
        </w:rPr>
        <w:t xml:space="preserve">(except to the extent provided in </w:t>
      </w:r>
      <w:bookmarkStart w:id="179" w:name="DocXTextRef96"/>
      <w:r w:rsidRPr="009A09FD">
        <w:rPr>
          <w:snapToGrid w:val="0"/>
        </w:rPr>
        <w:t xml:space="preserve">Section </w:t>
      </w:r>
      <w:bookmarkEnd w:id="179"/>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hereof) or to one another under this Agreement.</w:t>
      </w:r>
      <w:bookmarkEnd w:id="177"/>
    </w:p>
    <w:p w:rsidR="001C5107" w:rsidRPr="009A09FD" w:rsidP="00EA70E5" w14:paraId="024D1421" w14:textId="77777777">
      <w:pPr>
        <w:pStyle w:val="Heading1"/>
        <w:rPr>
          <w:snapToGrid w:val="0"/>
        </w:rPr>
      </w:pPr>
      <w:bookmarkStart w:id="180" w:name="_Toc517409041"/>
      <w:bookmarkStart w:id="181" w:name="_Toc72862709"/>
      <w:bookmarkStart w:id="182" w:name="_Ref150618448"/>
      <w:bookmarkStart w:id="183" w:name="_Ref367265687"/>
      <w:r w:rsidRPr="009A09FD">
        <w:rPr>
          <w:snapToGrid w:val="0"/>
        </w:rPr>
        <w:t>Increase in International Underwriters’ Commitments</w:t>
      </w:r>
      <w:bookmarkEnd w:id="180"/>
      <w:bookmarkEnd w:id="181"/>
      <w:bookmarkEnd w:id="182"/>
    </w:p>
    <w:p w:rsidR="001C5107" w:rsidRPr="009A09FD" w:rsidP="00955E47" w14:paraId="6209F00E" w14:textId="5666831E">
      <w:pPr>
        <w:pStyle w:val="BodyText1"/>
        <w:rPr>
          <w:snapToGrid w:val="0"/>
        </w:rPr>
      </w:pPr>
      <w:r w:rsidRPr="009A09FD">
        <w:rPr>
          <w:snapToGrid w:val="0"/>
        </w:rPr>
        <w:t xml:space="preserve">If </w:t>
      </w:r>
      <w:r w:rsidRPr="009A09FD" w:rsidR="006A62F4">
        <w:rPr>
          <w:snapToGrid w:val="0"/>
        </w:rPr>
        <w:t xml:space="preserve">any International Underwriter shall default in its obligation to </w:t>
      </w:r>
      <w:r w:rsidRPr="009A09FD" w:rsidR="006471B3">
        <w:rPr>
          <w:snapToGrid w:val="0"/>
        </w:rPr>
        <w:t>purchase</w:t>
      </w:r>
      <w:r w:rsidRPr="009A09FD" w:rsidR="006A62F4">
        <w:rPr>
          <w:snapToGrid w:val="0"/>
        </w:rPr>
        <w:t xml:space="preserve"> the International Offer Shares </w:t>
      </w:r>
      <w:r w:rsidRPr="009A09FD" w:rsidR="006471B3">
        <w:rPr>
          <w:snapToGrid w:val="0"/>
        </w:rPr>
        <w:t>which it has agreed to purchase</w:t>
      </w:r>
      <w:r w:rsidRPr="009A09FD" w:rsidR="006A62F4">
        <w:rPr>
          <w:snapToGrid w:val="0"/>
        </w:rPr>
        <w:t xml:space="preserve"> hereunder </w:t>
      </w:r>
      <w:r w:rsidRPr="009A09FD" w:rsidR="00204C63">
        <w:rPr>
          <w:snapToGrid w:val="0"/>
        </w:rPr>
        <w:t xml:space="preserve">(otherwise than for a failure of a condition precedent set forth in Section </w:t>
      </w:r>
      <w:r w:rsidRPr="009A09FD" w:rsidR="00484342">
        <w:rPr>
          <w:snapToGrid w:val="0"/>
        </w:rPr>
        <w:t xml:space="preserve">8 </w:t>
      </w:r>
      <w:r w:rsidRPr="009A09FD" w:rsidR="00204C63">
        <w:rPr>
          <w:snapToGrid w:val="0"/>
        </w:rPr>
        <w:t xml:space="preserve">hereof or a reason sufficient to justify the termination of this Agreement under subsection </w:t>
      </w:r>
      <w:r w:rsidRPr="009A09FD" w:rsidR="00562F81">
        <w:rPr>
          <w:snapToGrid w:val="0"/>
        </w:rPr>
        <w:t>9</w:t>
      </w:r>
      <w:r w:rsidRPr="009A09FD" w:rsidR="00F32A49">
        <w:rPr>
          <w:snapToGrid w:val="0"/>
        </w:rPr>
        <w:t>(c)</w:t>
      </w:r>
      <w:r w:rsidRPr="009A09FD" w:rsidR="00204C63">
        <w:rPr>
          <w:snapToGrid w:val="0"/>
        </w:rPr>
        <w:t xml:space="preserve"> hereof) </w:t>
      </w:r>
      <w:r w:rsidRPr="009A09FD" w:rsidR="00955E47">
        <w:rPr>
          <w:snapToGrid w:val="0"/>
        </w:rPr>
        <w:t xml:space="preserve">at any Time of Delivery, the Joint Global Coordinators and the Overall Coordinators may in their discretion arrange for the Joint Global Coordinators and the Overall Coordinators or another party or other parties to purchase such International Offer Shares on the terms contained herein. If within thirty-six hours after such default by any International Underwriter, the Joint Global Coordinators and the Overall Coordinators do not arrange for the purchase of such International Offer Shares, then the Company shall be entitled to a further period of thirty-six hours within which to procure another party or other parties satisfactory to the Joint Global Coordinators and the Overall Coordinators to purchase such International Offer Shares on such terms. In the event that, within the respective prescribed periods, the Joint Global Coordinators and the Overall Coordinators notify the Company that the Joint Global Coordinators and the Overall Coordinators have so arranged for the purchase of such International Offer Shares, or the Company notifies the Joint Global Coordinators and the Overall Coordinators that it has so arranged for the purchase of such Shares, the Joint Global Coordinators and the Overall Coordinators or the Company shall have the right to postpone such Time of Delivery for a period of not more than seven days, in order to effect whatever </w:t>
      </w:r>
      <w:r w:rsidRPr="009A09FD" w:rsidR="00527326">
        <w:rPr>
          <w:snapToGrid w:val="0"/>
        </w:rPr>
        <w:t xml:space="preserve">changes may thereby be made </w:t>
      </w:r>
      <w:r w:rsidRPr="009A09FD" w:rsidR="00955E47">
        <w:rPr>
          <w:snapToGrid w:val="0"/>
        </w:rPr>
        <w:t>necessary in the Disclosure Package and the Offering Circular, or in any other documents or arrangements, and the Company agrees</w:t>
      </w:r>
      <w:r w:rsidRPr="009A09FD" w:rsidR="005D4F8D">
        <w:rPr>
          <w:rFonts w:hint="eastAsia"/>
          <w:snapToGrid w:val="0"/>
        </w:rPr>
        <w:t>, and eac</w:t>
      </w:r>
      <w:r w:rsidRPr="009A09FD" w:rsidR="005D4F8D">
        <w:rPr>
          <w:snapToGrid w:val="0"/>
        </w:rPr>
        <w:t xml:space="preserve">h of </w:t>
      </w:r>
      <w:r w:rsidRPr="009A09FD" w:rsidR="005D4F8D">
        <w:rPr>
          <w:rFonts w:hint="eastAsia"/>
          <w:snapToGrid w:val="0"/>
        </w:rPr>
        <w:t xml:space="preserve">the </w:t>
      </w:r>
      <w:r w:rsidRPr="009A09FD" w:rsidR="005D4F8D">
        <w:rPr>
          <w:snapToGrid w:val="0"/>
        </w:rPr>
        <w:t xml:space="preserve">Warranting Shareholders </w:t>
      </w:r>
      <w:r w:rsidRPr="009A09FD" w:rsidR="005D4F8D">
        <w:rPr>
          <w:rFonts w:hint="eastAsia"/>
          <w:snapToGrid w:val="0"/>
        </w:rPr>
        <w:t>agree</w:t>
      </w:r>
      <w:r w:rsidRPr="009A09FD" w:rsidR="005D4F8D">
        <w:rPr>
          <w:snapToGrid w:val="0"/>
        </w:rPr>
        <w:t>s</w:t>
      </w:r>
      <w:r w:rsidRPr="009A09FD" w:rsidR="005D4F8D">
        <w:rPr>
          <w:rFonts w:hint="eastAsia"/>
          <w:snapToGrid w:val="0"/>
        </w:rPr>
        <w:t xml:space="preserve"> to procure the Company,</w:t>
      </w:r>
      <w:r w:rsidRPr="009A09FD" w:rsidR="00955E47">
        <w:rPr>
          <w:snapToGrid w:val="0"/>
        </w:rPr>
        <w:t xml:space="preserve"> to make promptly any </w:t>
      </w:r>
      <w:r w:rsidRPr="009A09FD" w:rsidR="005D4F8D">
        <w:rPr>
          <w:snapToGrid w:val="0"/>
        </w:rPr>
        <w:t>such changes</w:t>
      </w:r>
      <w:r w:rsidRPr="009A09FD" w:rsidR="006A62F4">
        <w:rPr>
          <w:snapToGrid w:val="0"/>
        </w:rPr>
        <w:t>.</w:t>
      </w:r>
      <w:bookmarkEnd w:id="183"/>
    </w:p>
    <w:p w:rsidR="001C5107" w:rsidRPr="009A09FD" w:rsidP="00EA70E5" w14:paraId="324B4086" w14:textId="7E38CB23">
      <w:pPr>
        <w:pStyle w:val="BodyText1"/>
        <w:rPr>
          <w:snapToGrid w:val="0"/>
        </w:rPr>
      </w:pPr>
    </w:p>
    <w:p w:rsidR="001C5107" w:rsidRPr="009A09FD" w:rsidP="00EA70E5" w14:paraId="0BF733B1" w14:textId="77777777">
      <w:pPr>
        <w:pStyle w:val="BodyText1"/>
        <w:rPr>
          <w:snapToGrid w:val="0"/>
        </w:rPr>
      </w:pPr>
      <w:r w:rsidRPr="009A09FD">
        <w:rPr>
          <w:snapToGrid w:val="0"/>
        </w:rPr>
        <w:t>Without relieving any defaulting International Underwriter from its obligations hereunder, the Company agrees with the non-defaulting International Underwriters that it will not sell any International Offer Shares hereunder unless all of the International Offer Shares are purchased by the International Underwriters (including International Underwriters substituted pursuant to the foregoing paragraph).</w:t>
      </w:r>
    </w:p>
    <w:p w:rsidR="001C5107" w:rsidRPr="009A09FD" w:rsidP="00EA70E5" w14:paraId="2586CD11" w14:textId="4818EAF6">
      <w:pPr>
        <w:pStyle w:val="BodyText1"/>
        <w:rPr>
          <w:snapToGrid w:val="0"/>
        </w:rPr>
      </w:pPr>
    </w:p>
    <w:p w:rsidR="007413FA" w:rsidRPr="009A09FD" w:rsidP="00EA70E5" w14:paraId="35F63755" w14:textId="3CDFFB3C">
      <w:pPr>
        <w:pStyle w:val="BodyText1"/>
        <w:rPr>
          <w:snapToGrid w:val="0"/>
        </w:rPr>
      </w:pPr>
      <w:r w:rsidRPr="009A09FD">
        <w:rPr>
          <w:snapToGrid w:val="0"/>
        </w:rPr>
        <w:t xml:space="preserve">If, after giving effect to any arrangements for the purchase of the International Offer Shares of a defaulting International Underwriter or International Underwriters by the Joint Global Coordinators, the Overall Coordinators and the Company as provided in the first paragraph </w:t>
      </w:r>
      <w:r w:rsidRPr="009A09FD" w:rsidR="00A27606">
        <w:rPr>
          <w:snapToGrid w:val="0"/>
        </w:rPr>
        <w:t xml:space="preserve">of </w:t>
      </w:r>
      <w:r w:rsidRPr="009A09FD">
        <w:rPr>
          <w:snapToGrid w:val="0"/>
        </w:rPr>
        <w:t xml:space="preserve">this Section 10, the aggregate number of such International Offer Shares which remains unpurchased does not exceed one tenth of the aggregate number of all the International Offer Shares to be purchased at such Time of Delivery, then the Company shall have the right to require each non-defaulting International Underwriter to purchase the number of International Offer Shares which such International Underwriter agreed to purchase hereunder at such Time of Delivery and, in addition, to require each non-defaulting International Underwriter to purchase its </w:t>
      </w:r>
      <w:r w:rsidRPr="009A09FD">
        <w:rPr>
          <w:i/>
          <w:iCs/>
          <w:snapToGrid w:val="0"/>
        </w:rPr>
        <w:t>pro rata</w:t>
      </w:r>
      <w:r w:rsidRPr="009A09FD">
        <w:rPr>
          <w:snapToGrid w:val="0"/>
        </w:rPr>
        <w:t xml:space="preserve"> share (based on the number of Firm Shares which such International Underwriter agreed to purchase hereunder) of the International Offer Shares of such defaulting International Underwriter or International Underwriters for which such arrangements have not been made; </w:t>
      </w:r>
      <w:r w:rsidRPr="009A09FD">
        <w:rPr>
          <w:i/>
          <w:iCs/>
          <w:snapToGrid w:val="0"/>
        </w:rPr>
        <w:t>provided that</w:t>
      </w:r>
      <w:r w:rsidRPr="009A09FD">
        <w:rPr>
          <w:snapToGrid w:val="0"/>
        </w:rPr>
        <w:t xml:space="preserve"> nothing herein</w:t>
      </w:r>
      <w:r w:rsidRPr="009A09FD" w:rsidR="0097054F">
        <w:rPr>
          <w:snapToGrid w:val="0"/>
        </w:rPr>
        <w:t>, and no action taken hereunder,</w:t>
      </w:r>
      <w:r w:rsidRPr="009A09FD">
        <w:rPr>
          <w:snapToGrid w:val="0"/>
        </w:rPr>
        <w:t xml:space="preserve"> shall relieve a defaulting International Underwriter from liability for its default.</w:t>
      </w:r>
    </w:p>
    <w:p w:rsidR="00767D94" w:rsidRPr="009A09FD" w:rsidP="00EA70E5" w14:paraId="21ECDA22" w14:textId="28B5943E">
      <w:pPr>
        <w:pStyle w:val="BodyText1"/>
        <w:rPr>
          <w:snapToGrid w:val="0"/>
        </w:rPr>
      </w:pPr>
      <w:r w:rsidRPr="009A09FD">
        <w:rPr>
          <w:snapToGrid w:val="0"/>
        </w:rPr>
        <w:t xml:space="preserve">If, after giving effect to any arrangements for the purchase of the </w:t>
      </w:r>
      <w:r w:rsidRPr="009A09FD" w:rsidR="005B22B7">
        <w:rPr>
          <w:snapToGrid w:val="0"/>
        </w:rPr>
        <w:t xml:space="preserve">International Offer </w:t>
      </w:r>
      <w:r w:rsidRPr="009A09FD">
        <w:rPr>
          <w:snapToGrid w:val="0"/>
        </w:rPr>
        <w:t xml:space="preserve">Shares of a defaulting </w:t>
      </w:r>
      <w:r w:rsidRPr="009A09FD" w:rsidR="005B22B7">
        <w:rPr>
          <w:snapToGrid w:val="0"/>
        </w:rPr>
        <w:t xml:space="preserve">International </w:t>
      </w:r>
      <w:r w:rsidRPr="009A09FD">
        <w:rPr>
          <w:snapToGrid w:val="0"/>
        </w:rPr>
        <w:t xml:space="preserve">Underwriter or </w:t>
      </w:r>
      <w:r w:rsidRPr="009A09FD" w:rsidR="005B22B7">
        <w:rPr>
          <w:snapToGrid w:val="0"/>
        </w:rPr>
        <w:t xml:space="preserve">International </w:t>
      </w:r>
      <w:r w:rsidRPr="009A09FD">
        <w:rPr>
          <w:snapToGrid w:val="0"/>
        </w:rPr>
        <w:t xml:space="preserve">Underwriters by </w:t>
      </w:r>
      <w:r w:rsidRPr="009A09FD" w:rsidR="005B22B7">
        <w:rPr>
          <w:snapToGrid w:val="0"/>
        </w:rPr>
        <w:t xml:space="preserve">the Joint Global Coordinators, the Overall Coordinators </w:t>
      </w:r>
      <w:r w:rsidRPr="009A09FD">
        <w:rPr>
          <w:snapToGrid w:val="0"/>
        </w:rPr>
        <w:t xml:space="preserve">and the Company as provided in </w:t>
      </w:r>
      <w:r w:rsidRPr="009A09FD" w:rsidR="00A27606">
        <w:rPr>
          <w:snapToGrid w:val="0"/>
        </w:rPr>
        <w:t>the first paragraph of this Section 10</w:t>
      </w:r>
      <w:r w:rsidRPr="009A09FD">
        <w:rPr>
          <w:snapToGrid w:val="0"/>
        </w:rPr>
        <w:t xml:space="preserve">, the aggregate number of such </w:t>
      </w:r>
      <w:r w:rsidRPr="009A09FD" w:rsidR="001838A2">
        <w:rPr>
          <w:snapToGrid w:val="0"/>
        </w:rPr>
        <w:t xml:space="preserve">International Offer </w:t>
      </w:r>
      <w:r w:rsidRPr="009A09FD">
        <w:rPr>
          <w:snapToGrid w:val="0"/>
        </w:rPr>
        <w:t xml:space="preserve">Shares which remains unpurchased exceeds one </w:t>
      </w:r>
      <w:r w:rsidRPr="009A09FD" w:rsidR="001838A2">
        <w:rPr>
          <w:snapToGrid w:val="0"/>
        </w:rPr>
        <w:t>t</w:t>
      </w:r>
      <w:r w:rsidRPr="009A09FD">
        <w:rPr>
          <w:snapToGrid w:val="0"/>
        </w:rPr>
        <w:t xml:space="preserve">enth of the aggregate number of all the </w:t>
      </w:r>
      <w:r w:rsidRPr="009A09FD" w:rsidR="00C87830">
        <w:rPr>
          <w:snapToGrid w:val="0"/>
        </w:rPr>
        <w:t xml:space="preserve">International Offer </w:t>
      </w:r>
      <w:r w:rsidRPr="009A09FD">
        <w:rPr>
          <w:snapToGrid w:val="0"/>
        </w:rPr>
        <w:t xml:space="preserve">Shares to be purchased at such Time of Delivery, or if the Company shall not exercise the right described in </w:t>
      </w:r>
      <w:r w:rsidRPr="009A09FD" w:rsidR="00C87830">
        <w:rPr>
          <w:snapToGrid w:val="0"/>
        </w:rPr>
        <w:t xml:space="preserve">the foregoing paragraph </w:t>
      </w:r>
      <w:r w:rsidRPr="009A09FD">
        <w:rPr>
          <w:snapToGrid w:val="0"/>
        </w:rPr>
        <w:t>to require non</w:t>
      </w:r>
      <w:r w:rsidRPr="009A09FD" w:rsidR="00B06E06">
        <w:rPr>
          <w:snapToGrid w:val="0"/>
        </w:rPr>
        <w:t>-</w:t>
      </w:r>
      <w:r w:rsidRPr="009A09FD">
        <w:rPr>
          <w:snapToGrid w:val="0"/>
        </w:rPr>
        <w:t xml:space="preserve">defaulting </w:t>
      </w:r>
      <w:r w:rsidRPr="009A09FD" w:rsidR="00B06E06">
        <w:rPr>
          <w:snapToGrid w:val="0"/>
        </w:rPr>
        <w:t xml:space="preserve">International </w:t>
      </w:r>
      <w:r w:rsidRPr="009A09FD">
        <w:rPr>
          <w:snapToGrid w:val="0"/>
        </w:rPr>
        <w:t xml:space="preserve">Underwriters to purchase </w:t>
      </w:r>
      <w:r w:rsidRPr="009A09FD" w:rsidR="00EB74AE">
        <w:rPr>
          <w:snapToGrid w:val="0"/>
        </w:rPr>
        <w:t xml:space="preserve">International Offer </w:t>
      </w:r>
      <w:r w:rsidRPr="009A09FD">
        <w:rPr>
          <w:snapToGrid w:val="0"/>
        </w:rPr>
        <w:t xml:space="preserve">Shares of a defaulting </w:t>
      </w:r>
      <w:r w:rsidRPr="009A09FD" w:rsidR="00EB74AE">
        <w:rPr>
          <w:snapToGrid w:val="0"/>
        </w:rPr>
        <w:t xml:space="preserve">International </w:t>
      </w:r>
      <w:r w:rsidRPr="009A09FD">
        <w:rPr>
          <w:snapToGrid w:val="0"/>
        </w:rPr>
        <w:t xml:space="preserve">Underwriter or </w:t>
      </w:r>
      <w:r w:rsidRPr="009A09FD" w:rsidR="00EB74AE">
        <w:rPr>
          <w:snapToGrid w:val="0"/>
        </w:rPr>
        <w:t xml:space="preserve">International </w:t>
      </w:r>
      <w:r w:rsidRPr="009A09FD">
        <w:rPr>
          <w:snapToGrid w:val="0"/>
        </w:rPr>
        <w:t xml:space="preserve">Underwriters, then this Agreement (or, with respect to the Second Time of Delivery, the obligations of the </w:t>
      </w:r>
      <w:r w:rsidRPr="009A09FD" w:rsidR="00EB74AE">
        <w:rPr>
          <w:snapToGrid w:val="0"/>
        </w:rPr>
        <w:t xml:space="preserve">International </w:t>
      </w:r>
      <w:r w:rsidRPr="009A09FD">
        <w:rPr>
          <w:snapToGrid w:val="0"/>
        </w:rPr>
        <w:t>Underwriters to purchase and of the Company to sell the Option Shares</w:t>
      </w:r>
      <w:r w:rsidRPr="009A09FD" w:rsidR="003023FB">
        <w:rPr>
          <w:snapToGrid w:val="0"/>
        </w:rPr>
        <w:t>)</w:t>
      </w:r>
      <w:r w:rsidRPr="009A09FD">
        <w:rPr>
          <w:snapToGrid w:val="0"/>
        </w:rPr>
        <w:t xml:space="preserve"> shall thereupon terminate</w:t>
      </w:r>
      <w:r w:rsidRPr="009A09FD" w:rsidR="00D65F3E">
        <w:rPr>
          <w:snapToGrid w:val="0"/>
        </w:rPr>
        <w:t xml:space="preserve"> without further act or deed and without any obligation or liability on the part of the </w:t>
      </w:r>
      <w:r w:rsidRPr="009A09FD" w:rsidR="00D65F3E">
        <w:rPr>
          <w:rFonts w:hint="eastAsia"/>
          <w:snapToGrid w:val="0"/>
        </w:rPr>
        <w:t>Warrantors</w:t>
      </w:r>
      <w:r w:rsidRPr="009A09FD" w:rsidR="00D65F3E">
        <w:rPr>
          <w:snapToGrid w:val="0"/>
        </w:rPr>
        <w:t xml:space="preserve"> hereunder (except to the extent provided in Sections </w:t>
      </w:r>
      <w:r w:rsidRPr="009A09FD" w:rsidR="00D65F3E">
        <w:rPr>
          <w:snapToGrid w:val="0"/>
        </w:rPr>
        <w:fldChar w:fldCharType="begin"/>
      </w:r>
      <w:r w:rsidRPr="009A09FD" w:rsidR="00D65F3E">
        <w:rPr>
          <w:snapToGrid w:val="0"/>
        </w:rPr>
        <w:instrText xml:space="preserve"> REF _Ref367265625 \r \h  \* MERGEFORMAT </w:instrText>
      </w:r>
      <w:r w:rsidRPr="009A09FD" w:rsidR="00D65F3E">
        <w:rPr>
          <w:snapToGrid w:val="0"/>
        </w:rPr>
        <w:fldChar w:fldCharType="separate"/>
      </w:r>
      <w:r w:rsidRPr="009A09FD" w:rsidR="00ED2E07">
        <w:rPr>
          <w:snapToGrid w:val="0"/>
        </w:rPr>
        <w:t>6</w:t>
      </w:r>
      <w:r w:rsidRPr="009A09FD" w:rsidR="00D65F3E">
        <w:rPr>
          <w:snapToGrid w:val="0"/>
        </w:rPr>
        <w:fldChar w:fldCharType="end"/>
      </w:r>
      <w:r w:rsidRPr="009A09FD" w:rsidR="00D65F3E">
        <w:rPr>
          <w:snapToGrid w:val="0"/>
        </w:rPr>
        <w:t xml:space="preserve">, </w:t>
      </w:r>
      <w:r w:rsidRPr="009A09FD" w:rsidR="00D65F3E">
        <w:rPr>
          <w:snapToGrid w:val="0"/>
        </w:rPr>
        <w:fldChar w:fldCharType="begin"/>
      </w:r>
      <w:r w:rsidRPr="009A09FD" w:rsidR="00D65F3E">
        <w:rPr>
          <w:snapToGrid w:val="0"/>
        </w:rPr>
        <w:instrText xml:space="preserve"> REF _Ref367265666 \r \h  \* MERGEFORMAT </w:instrText>
      </w:r>
      <w:r w:rsidRPr="009A09FD" w:rsidR="00D65F3E">
        <w:rPr>
          <w:snapToGrid w:val="0"/>
        </w:rPr>
        <w:fldChar w:fldCharType="separate"/>
      </w:r>
      <w:r w:rsidRPr="009A09FD" w:rsidR="00ED2E07">
        <w:rPr>
          <w:snapToGrid w:val="0"/>
        </w:rPr>
        <w:t>9</w:t>
      </w:r>
      <w:r w:rsidRPr="009A09FD" w:rsidR="00D65F3E">
        <w:rPr>
          <w:snapToGrid w:val="0"/>
        </w:rPr>
        <w:fldChar w:fldCharType="end"/>
      </w:r>
      <w:r w:rsidRPr="009A09FD" w:rsidR="00D65F3E">
        <w:rPr>
          <w:snapToGrid w:val="0"/>
        </w:rPr>
        <w:t xml:space="preserve"> and </w:t>
      </w:r>
      <w:r w:rsidRPr="009A09FD" w:rsidR="00D65F3E">
        <w:rPr>
          <w:snapToGrid w:val="0"/>
        </w:rPr>
        <w:fldChar w:fldCharType="begin"/>
      </w:r>
      <w:r w:rsidRPr="009A09FD" w:rsidR="00D65F3E">
        <w:rPr>
          <w:snapToGrid w:val="0"/>
        </w:rPr>
        <w:instrText xml:space="preserve"> REF _Ref367265688 \r \h  \* MERGEFORMAT </w:instrText>
      </w:r>
      <w:r w:rsidRPr="009A09FD" w:rsidR="00D65F3E">
        <w:rPr>
          <w:snapToGrid w:val="0"/>
        </w:rPr>
        <w:fldChar w:fldCharType="separate"/>
      </w:r>
      <w:r w:rsidRPr="009A09FD" w:rsidR="00ED2E07">
        <w:rPr>
          <w:snapToGrid w:val="0"/>
        </w:rPr>
        <w:t>11</w:t>
      </w:r>
      <w:r w:rsidRPr="009A09FD" w:rsidR="00D65F3E">
        <w:rPr>
          <w:snapToGrid w:val="0"/>
        </w:rPr>
        <w:fldChar w:fldCharType="end"/>
      </w:r>
      <w:r w:rsidRPr="009A09FD" w:rsidR="00D65F3E">
        <w:rPr>
          <w:snapToGrid w:val="0"/>
        </w:rPr>
        <w:t xml:space="preserve"> hereof) and without any obligation or liability on the part of any non-defaulting International Underwriter hereunder (except to the extent provided in Section </w:t>
      </w:r>
      <w:r w:rsidRPr="009A09FD" w:rsidR="00D65F3E">
        <w:rPr>
          <w:snapToGrid w:val="0"/>
        </w:rPr>
        <w:fldChar w:fldCharType="begin"/>
      </w:r>
      <w:r w:rsidRPr="009A09FD" w:rsidR="00D65F3E">
        <w:rPr>
          <w:snapToGrid w:val="0"/>
        </w:rPr>
        <w:instrText xml:space="preserve"> REF _Ref367265688 \r \h  \* MERGEFORMAT </w:instrText>
      </w:r>
      <w:r w:rsidRPr="009A09FD" w:rsidR="00D65F3E">
        <w:rPr>
          <w:snapToGrid w:val="0"/>
        </w:rPr>
        <w:fldChar w:fldCharType="separate"/>
      </w:r>
      <w:r w:rsidRPr="009A09FD" w:rsidR="00ED2E07">
        <w:rPr>
          <w:snapToGrid w:val="0"/>
        </w:rPr>
        <w:t>11</w:t>
      </w:r>
      <w:r w:rsidRPr="009A09FD" w:rsidR="00D65F3E">
        <w:rPr>
          <w:snapToGrid w:val="0"/>
        </w:rPr>
        <w:fldChar w:fldCharType="end"/>
      </w:r>
      <w:r w:rsidRPr="009A09FD" w:rsidR="00D65F3E">
        <w:rPr>
          <w:snapToGrid w:val="0"/>
        </w:rPr>
        <w:t xml:space="preserve"> hereof)</w:t>
      </w:r>
      <w:r w:rsidRPr="009A09FD">
        <w:rPr>
          <w:snapToGrid w:val="0"/>
        </w:rPr>
        <w:t xml:space="preserve">; </w:t>
      </w:r>
      <w:r w:rsidRPr="009A09FD" w:rsidR="00483AD7">
        <w:rPr>
          <w:i/>
          <w:iCs/>
          <w:snapToGrid w:val="0"/>
        </w:rPr>
        <w:t>provided that</w:t>
      </w:r>
      <w:r w:rsidRPr="009A09FD">
        <w:rPr>
          <w:snapToGrid w:val="0"/>
        </w:rPr>
        <w:t xml:space="preserve"> nothing herein</w:t>
      </w:r>
      <w:r w:rsidRPr="009A09FD" w:rsidR="003B5772">
        <w:rPr>
          <w:snapToGrid w:val="0"/>
        </w:rPr>
        <w:t>, and no action taken hereunder,</w:t>
      </w:r>
      <w:r w:rsidRPr="009A09FD">
        <w:rPr>
          <w:snapToGrid w:val="0"/>
        </w:rPr>
        <w:t xml:space="preserve"> shall relieve a defaulting </w:t>
      </w:r>
      <w:r w:rsidRPr="009A09FD" w:rsidR="003B5772">
        <w:rPr>
          <w:snapToGrid w:val="0"/>
        </w:rPr>
        <w:t xml:space="preserve">International </w:t>
      </w:r>
      <w:r w:rsidRPr="009A09FD">
        <w:rPr>
          <w:snapToGrid w:val="0"/>
        </w:rPr>
        <w:t>Underwriter from liability for its default</w:t>
      </w:r>
      <w:r w:rsidRPr="009A09FD" w:rsidR="005B22B7">
        <w:rPr>
          <w:snapToGrid w:val="0"/>
        </w:rPr>
        <w:t>.</w:t>
      </w:r>
    </w:p>
    <w:p w:rsidR="001C5107" w:rsidRPr="009A09FD" w:rsidP="00EA70E5" w14:paraId="3F75CEC1" w14:textId="1791CA9D">
      <w:pPr>
        <w:pStyle w:val="BodyText1"/>
        <w:rPr>
          <w:snapToGrid w:val="0"/>
        </w:rPr>
      </w:pPr>
      <w:r w:rsidRPr="009A09FD">
        <w:rPr>
          <w:snapToGrid w:val="0"/>
        </w:rPr>
        <w:t xml:space="preserve">The term “International Underwriter” as used in this Agreement shall refer to and include any </w:t>
      </w:r>
      <w:r w:rsidRPr="009A09FD" w:rsidR="006C5847">
        <w:rPr>
          <w:snapToGrid w:val="0"/>
        </w:rPr>
        <w:t>person</w:t>
      </w:r>
      <w:r w:rsidRPr="009A09FD">
        <w:rPr>
          <w:snapToGrid w:val="0"/>
        </w:rPr>
        <w:t xml:space="preserve"> substituted under this </w:t>
      </w:r>
      <w:bookmarkStart w:id="184" w:name="DocXTextRef104"/>
      <w:r w:rsidRPr="009A09FD">
        <w:rPr>
          <w:snapToGrid w:val="0"/>
        </w:rPr>
        <w:t xml:space="preserve">Section </w:t>
      </w:r>
      <w:bookmarkEnd w:id="184"/>
      <w:r w:rsidRPr="009A09FD">
        <w:rPr>
          <w:snapToGrid w:val="0"/>
        </w:rPr>
        <w:fldChar w:fldCharType="begin"/>
      </w:r>
      <w:r w:rsidRPr="009A09FD">
        <w:rPr>
          <w:snapToGrid w:val="0"/>
        </w:rPr>
        <w:instrText xml:space="preserve"> REF _Ref367265687 \r \h  \* MERGEFORMAT </w:instrText>
      </w:r>
      <w:r w:rsidRPr="009A09FD">
        <w:rPr>
          <w:snapToGrid w:val="0"/>
        </w:rPr>
        <w:fldChar w:fldCharType="separate"/>
      </w:r>
      <w:r w:rsidRPr="009A09FD" w:rsidR="00ED2E07">
        <w:rPr>
          <w:snapToGrid w:val="0"/>
        </w:rPr>
        <w:t>10</w:t>
      </w:r>
      <w:r w:rsidRPr="009A09FD">
        <w:rPr>
          <w:snapToGrid w:val="0"/>
        </w:rPr>
        <w:fldChar w:fldCharType="end"/>
      </w:r>
      <w:r w:rsidRPr="009A09FD">
        <w:rPr>
          <w:snapToGrid w:val="0"/>
        </w:rPr>
        <w:t xml:space="preserve"> with like effect as if such </w:t>
      </w:r>
      <w:r w:rsidRPr="009A09FD" w:rsidR="006C5847">
        <w:rPr>
          <w:snapToGrid w:val="0"/>
        </w:rPr>
        <w:t>person</w:t>
      </w:r>
      <w:r w:rsidRPr="009A09FD">
        <w:rPr>
          <w:snapToGrid w:val="0"/>
        </w:rPr>
        <w:t xml:space="preserve"> had originally been </w:t>
      </w:r>
      <w:r w:rsidRPr="009A09FD" w:rsidR="006C5847">
        <w:rPr>
          <w:snapToGrid w:val="0"/>
        </w:rPr>
        <w:t>a party to this Agreement with respect to such International Offer Shares</w:t>
      </w:r>
      <w:r w:rsidRPr="009A09FD">
        <w:rPr>
          <w:snapToGrid w:val="0"/>
        </w:rPr>
        <w:t>.</w:t>
      </w:r>
    </w:p>
    <w:p w:rsidR="001C5107" w:rsidRPr="009A09FD" w:rsidP="00EA70E5" w14:paraId="2D52D8BE" w14:textId="2C2E3D2C">
      <w:pPr>
        <w:pStyle w:val="Heading1"/>
        <w:rPr>
          <w:snapToGrid w:val="0"/>
        </w:rPr>
      </w:pPr>
      <w:bookmarkStart w:id="185" w:name="_Ref367265688"/>
      <w:bookmarkStart w:id="186" w:name="_Toc517409042"/>
      <w:bookmarkStart w:id="187" w:name="_Toc72862710"/>
      <w:r w:rsidRPr="009A09FD">
        <w:rPr>
          <w:snapToGrid w:val="0"/>
        </w:rPr>
        <w:t>Indemnity and Contribution</w:t>
      </w:r>
      <w:bookmarkEnd w:id="185"/>
      <w:bookmarkEnd w:id="186"/>
      <w:bookmarkEnd w:id="187"/>
    </w:p>
    <w:p w:rsidR="001C5107" w:rsidRPr="009A09FD" w:rsidP="00EA70E5" w14:paraId="5E51BAAD" w14:textId="56EFA28D">
      <w:pPr>
        <w:pStyle w:val="Heading3"/>
        <w:rPr>
          <w:snapToGrid w:val="0"/>
        </w:rPr>
      </w:pPr>
      <w:bookmarkStart w:id="188" w:name="_Ref367265689"/>
      <w:r w:rsidRPr="009A09FD">
        <w:rPr>
          <w:snapToGrid w:val="0"/>
        </w:rPr>
        <w:t xml:space="preserve">Each of the </w:t>
      </w:r>
      <w:r w:rsidRPr="009A09FD">
        <w:rPr>
          <w:rFonts w:hint="eastAsia"/>
          <w:snapToGrid w:val="0"/>
        </w:rPr>
        <w:t>Warrantors</w:t>
      </w:r>
      <w:r w:rsidRPr="009A09FD">
        <w:rPr>
          <w:snapToGrid w:val="0"/>
        </w:rPr>
        <w:t xml:space="preserve">, severally and jointly agrees to indemnify, defend and hold harmless each </w:t>
      </w:r>
      <w:r w:rsidRPr="009A09FD" w:rsidR="00DD4780">
        <w:rPr>
          <w:snapToGrid w:val="0"/>
        </w:rPr>
        <w:t xml:space="preserve">of </w:t>
      </w:r>
      <w:r w:rsidRPr="009A09FD">
        <w:rPr>
          <w:snapToGrid w:val="0"/>
        </w:rPr>
        <w:t xml:space="preserve">the </w:t>
      </w:r>
      <w:r w:rsidRPr="009A09FD" w:rsidR="00D94134">
        <w:rPr>
          <w:snapToGrid w:val="0"/>
        </w:rPr>
        <w:t>Overall Coordinators</w:t>
      </w:r>
      <w:r w:rsidRPr="009A09FD">
        <w:rPr>
          <w:snapToGrid w:val="0"/>
        </w:rPr>
        <w:t xml:space="preserve">, </w:t>
      </w:r>
      <w:r w:rsidRPr="009A09FD" w:rsidR="007F48A3">
        <w:rPr>
          <w:snapToGrid w:val="0"/>
        </w:rPr>
        <w:t>the Sponsor-OC</w:t>
      </w:r>
      <w:r w:rsidRPr="009A09FD" w:rsidR="0012100D">
        <w:rPr>
          <w:snapToGrid w:val="0"/>
        </w:rPr>
        <w:t>s</w:t>
      </w:r>
      <w:r w:rsidRPr="009A09FD" w:rsidR="007F48A3">
        <w:rPr>
          <w:snapToGrid w:val="0"/>
        </w:rPr>
        <w:t xml:space="preserve">, the Joint Sponsors, </w:t>
      </w:r>
      <w:r w:rsidRPr="009A09FD">
        <w:rPr>
          <w:snapToGrid w:val="0"/>
        </w:rPr>
        <w:t>the Joint Global Coordinators, the Joint Bookrunners, the Joint Lead Managers</w:t>
      </w:r>
      <w:r w:rsidRPr="009A09FD" w:rsidR="008B24D8">
        <w:rPr>
          <w:snapToGrid w:val="0"/>
        </w:rPr>
        <w:t>, the CMIs</w:t>
      </w:r>
      <w:r w:rsidRPr="009A09FD" w:rsidR="00F243BF">
        <w:rPr>
          <w:snapToGrid w:val="0"/>
        </w:rPr>
        <w:t xml:space="preserve"> </w:t>
      </w:r>
      <w:r w:rsidRPr="009A09FD">
        <w:rPr>
          <w:snapToGrid w:val="0"/>
        </w:rPr>
        <w:t xml:space="preserve">and the International Underwriters, each of their respective Affiliates, </w:t>
      </w:r>
      <w:r w:rsidRPr="009A09FD" w:rsidR="009D075A">
        <w:rPr>
          <w:snapToGrid w:val="0"/>
        </w:rPr>
        <w:t>as well as their respective head offices, branches,</w:t>
      </w:r>
      <w:r w:rsidRPr="009A09FD">
        <w:rPr>
          <w:snapToGrid w:val="0"/>
        </w:rPr>
        <w:t xml:space="preserve"> representatives, partners, associates, agents, directors, officers, members and employees, any person who controls any such </w:t>
      </w:r>
      <w:r w:rsidRPr="009A09FD" w:rsidR="001D33A1">
        <w:rPr>
          <w:snapToGrid w:val="0"/>
        </w:rPr>
        <w:t>Overall Coordinator</w:t>
      </w:r>
      <w:r w:rsidRPr="009A09FD">
        <w:rPr>
          <w:snapToGrid w:val="0"/>
        </w:rPr>
        <w:t xml:space="preserve">, Joint Global Coordinator, </w:t>
      </w:r>
      <w:r w:rsidRPr="009A09FD" w:rsidR="00494ECD">
        <w:rPr>
          <w:snapToGrid w:val="0"/>
        </w:rPr>
        <w:t xml:space="preserve">Sponsor-OC, </w:t>
      </w:r>
      <w:r w:rsidRPr="009A09FD" w:rsidR="001D33A1">
        <w:rPr>
          <w:snapToGrid w:val="0"/>
        </w:rPr>
        <w:t xml:space="preserve">Joint </w:t>
      </w:r>
      <w:r w:rsidRPr="009A09FD">
        <w:rPr>
          <w:snapToGrid w:val="0"/>
        </w:rPr>
        <w:t>Sponsor, Joint Bookrunner, Joint Lead Manager</w:t>
      </w:r>
      <w:r w:rsidRPr="009A09FD" w:rsidR="001E66AD">
        <w:rPr>
          <w:snapToGrid w:val="0"/>
        </w:rPr>
        <w:t>, CMI</w:t>
      </w:r>
      <w:r w:rsidRPr="009A09FD">
        <w:rPr>
          <w:snapToGrid w:val="0"/>
        </w:rPr>
        <w:t xml:space="preserve"> and International Underwriter within the meaning of </w:t>
      </w:r>
      <w:bookmarkStart w:id="189" w:name="DocXTextRef109"/>
      <w:r w:rsidRPr="009A09FD">
        <w:rPr>
          <w:snapToGrid w:val="0"/>
        </w:rPr>
        <w:t>Section 15</w:t>
      </w:r>
      <w:bookmarkEnd w:id="189"/>
      <w:r w:rsidRPr="009A09FD">
        <w:rPr>
          <w:snapToGrid w:val="0"/>
        </w:rPr>
        <w:t xml:space="preserve"> of the Securities Act or </w:t>
      </w:r>
      <w:bookmarkStart w:id="190" w:name="DocXTextRef110"/>
      <w:r w:rsidRPr="009A09FD">
        <w:rPr>
          <w:snapToGrid w:val="0"/>
        </w:rPr>
        <w:t>Section 20</w:t>
      </w:r>
      <w:bookmarkEnd w:id="190"/>
      <w:r w:rsidRPr="009A09FD">
        <w:rPr>
          <w:snapToGrid w:val="0"/>
        </w:rPr>
        <w:t xml:space="preserve"> of the Exchange Act, and the successors and assigns of all of the foregoing persons, from and against any loss, damage, liability, payment, cost, charge, expense, award or claim</w:t>
      </w:r>
      <w:r w:rsidRPr="009A09FD" w:rsidR="001F080A">
        <w:rPr>
          <w:snapToGrid w:val="0"/>
        </w:rPr>
        <w:t xml:space="preserve"> (collectively, “</w:t>
      </w:r>
      <w:r w:rsidRPr="009A09FD" w:rsidR="001F080A">
        <w:rPr>
          <w:b/>
          <w:bCs/>
          <w:snapToGrid w:val="0"/>
        </w:rPr>
        <w:t>Loss</w:t>
      </w:r>
      <w:r w:rsidRPr="009A09FD" w:rsidR="001F080A">
        <w:rPr>
          <w:snapToGrid w:val="0"/>
        </w:rPr>
        <w:t>”)</w:t>
      </w:r>
      <w:r w:rsidRPr="009A09FD">
        <w:rPr>
          <w:snapToGrid w:val="0"/>
        </w:rPr>
        <w:t xml:space="preserve"> and any action, </w:t>
      </w:r>
      <w:r w:rsidRPr="009A09FD" w:rsidR="001F080A">
        <w:rPr>
          <w:snapToGrid w:val="0"/>
        </w:rPr>
        <w:t xml:space="preserve">writ, </w:t>
      </w:r>
      <w:r w:rsidRPr="009A09FD">
        <w:rPr>
          <w:snapToGrid w:val="0"/>
        </w:rPr>
        <w:t>suit or proceeding (including, without limitation, any investigation or inquiry by or before any Authority) (each, a “</w:t>
      </w:r>
      <w:r w:rsidRPr="009A09FD">
        <w:rPr>
          <w:b/>
          <w:snapToGrid w:val="0"/>
        </w:rPr>
        <w:t>Proceeding</w:t>
      </w:r>
      <w:r w:rsidRPr="009A09FD">
        <w:rPr>
          <w:snapToGrid w:val="0"/>
        </w:rPr>
        <w:t>”)</w:t>
      </w:r>
      <w:r w:rsidRPr="009A09FD" w:rsidR="006A6609">
        <w:rPr>
          <w:snapToGrid w:val="0"/>
        </w:rPr>
        <w:t xml:space="preserve"> </w:t>
      </w:r>
      <w:r w:rsidRPr="009A09FD">
        <w:rPr>
          <w:snapToGrid w:val="0"/>
        </w:rPr>
        <w:t xml:space="preserve">which, jointly or severally, any such </w:t>
      </w:r>
      <w:r w:rsidRPr="009A09FD" w:rsidR="00AF02CA">
        <w:rPr>
          <w:snapToGrid w:val="0"/>
        </w:rPr>
        <w:t>[</w:t>
      </w:r>
      <w:r w:rsidRPr="009A09FD" w:rsidR="00642EB2">
        <w:rPr>
          <w:snapToGrid w:val="0"/>
        </w:rPr>
        <w:t>Overall Coordinator, Sponsor-OC, Joint Sponsor, Joint Global Coordinator</w:t>
      </w:r>
      <w:r w:rsidRPr="009A09FD" w:rsidR="0065224D">
        <w:rPr>
          <w:snapToGrid w:val="0"/>
        </w:rPr>
        <w:t>, Joint Bookrunner, Joint Lead Manager, CMI</w:t>
      </w:r>
      <w:r w:rsidRPr="009A09FD" w:rsidR="00642EB2">
        <w:rPr>
          <w:snapToGrid w:val="0"/>
        </w:rPr>
        <w:t xml:space="preserve"> and </w:t>
      </w:r>
      <w:r w:rsidRPr="009A09FD">
        <w:rPr>
          <w:snapToGrid w:val="0"/>
        </w:rPr>
        <w:t>International Underwriter</w:t>
      </w:r>
      <w:r w:rsidRPr="009A09FD" w:rsidR="00AF02CA">
        <w:rPr>
          <w:snapToGrid w:val="0"/>
        </w:rPr>
        <w:t xml:space="preserve">] </w:t>
      </w:r>
      <w:r w:rsidRPr="009A09FD">
        <w:rPr>
          <w:snapToGrid w:val="0"/>
        </w:rPr>
        <w:t>or any such person may incur or become subject to under the Securities Act, the Exchange Act or the common law</w:t>
      </w:r>
      <w:r w:rsidRPr="009A09FD" w:rsidR="00112E92">
        <w:rPr>
          <w:snapToGrid w:val="0"/>
        </w:rPr>
        <w:t xml:space="preserve">, </w:t>
      </w:r>
      <w:r w:rsidRPr="009A09FD">
        <w:rPr>
          <w:snapToGrid w:val="0"/>
        </w:rPr>
        <w:t>or with respect to any Authority, or otherwise (including, without limitation, all legal and other expenses</w:t>
      </w:r>
      <w:r w:rsidRPr="009A09FD" w:rsidR="00C83ED5">
        <w:rPr>
          <w:snapToGrid w:val="0"/>
        </w:rPr>
        <w:t xml:space="preserve"> </w:t>
      </w:r>
      <w:r w:rsidRPr="009A09FD">
        <w:rPr>
          <w:snapToGrid w:val="0"/>
        </w:rPr>
        <w:t xml:space="preserve">incurred in investigating or defending such </w:t>
      </w:r>
      <w:r w:rsidRPr="009A09FD" w:rsidR="00E633C1">
        <w:rPr>
          <w:snapToGrid w:val="0"/>
        </w:rPr>
        <w:t>Loss or Proceedings</w:t>
      </w:r>
      <w:r w:rsidRPr="009A09FD" w:rsidR="00B376D4">
        <w:rPr>
          <w:snapToGrid w:val="0"/>
        </w:rPr>
        <w:t>)</w:t>
      </w:r>
      <w:r w:rsidRPr="009A09FD">
        <w:rPr>
          <w:snapToGrid w:val="0"/>
        </w:rPr>
        <w:t xml:space="preserve">, insofar as such </w:t>
      </w:r>
      <w:r w:rsidRPr="009A09FD" w:rsidR="00DD1ECE">
        <w:rPr>
          <w:snapToGrid w:val="0"/>
        </w:rPr>
        <w:t xml:space="preserve">Loss and Proceedings </w:t>
      </w:r>
      <w:r w:rsidRPr="009A09FD" w:rsidR="00F84471">
        <w:rPr>
          <w:snapToGrid w:val="0"/>
        </w:rPr>
        <w:t xml:space="preserve">(or actions </w:t>
      </w:r>
      <w:r w:rsidRPr="009A09FD" w:rsidR="00DD1ECE">
        <w:rPr>
          <w:snapToGrid w:val="0"/>
        </w:rPr>
        <w:t>in respect thereof</w:t>
      </w:r>
      <w:r w:rsidRPr="009A09FD" w:rsidR="00F84471">
        <w:rPr>
          <w:snapToGrid w:val="0"/>
        </w:rPr>
        <w:t>)</w:t>
      </w:r>
      <w:r w:rsidRPr="009A09FD">
        <w:rPr>
          <w:snapToGrid w:val="0"/>
        </w:rPr>
        <w:t xml:space="preserve"> arises out of or is based upon any untrue statement or alleged untrue statement of a material fact contained in </w:t>
      </w:r>
      <w:r w:rsidRPr="009A09FD" w:rsidR="00107BFE">
        <w:rPr>
          <w:snapToGrid w:val="0"/>
        </w:rPr>
        <w:t xml:space="preserve">the </w:t>
      </w:r>
      <w:r w:rsidRPr="009A09FD">
        <w:rPr>
          <w:snapToGrid w:val="0"/>
        </w:rPr>
        <w:t xml:space="preserve">Disclosure Package, the </w:t>
      </w:r>
      <w:r w:rsidRPr="009A09FD" w:rsidR="005F428E">
        <w:rPr>
          <w:snapToGrid w:val="0"/>
        </w:rPr>
        <w:t>Offering Circular</w:t>
      </w:r>
      <w:r w:rsidRPr="009A09FD">
        <w:rPr>
          <w:snapToGrid w:val="0"/>
        </w:rPr>
        <w:t xml:space="preserve">, any Supplemental Offering Material, or any amendment or supplement to any of the foregoing, or arises out of or is based upon any omission or alleged omission to state a material fact necessary in order to make the statements therein, in the light of the circumstances under which they were made, not misleading, except insofar as any such </w:t>
      </w:r>
      <w:r w:rsidRPr="009A09FD" w:rsidR="00CE0DF1">
        <w:rPr>
          <w:snapToGrid w:val="0"/>
        </w:rPr>
        <w:t>Loss</w:t>
      </w:r>
      <w:r w:rsidRPr="009A09FD">
        <w:rPr>
          <w:snapToGrid w:val="0"/>
        </w:rPr>
        <w:t xml:space="preserve"> arises out of or is based upon any untrue statement or alleged untrue statement of a material fact</w:t>
      </w:r>
      <w:r w:rsidRPr="009A09FD" w:rsidR="00AB4EA5">
        <w:rPr>
          <w:snapToGrid w:val="0"/>
        </w:rPr>
        <w:t>, or omission or alleged omission to state a material fact</w:t>
      </w:r>
      <w:r w:rsidRPr="009A09FD" w:rsidR="00C83ED5">
        <w:rPr>
          <w:snapToGrid w:val="0"/>
        </w:rPr>
        <w:t xml:space="preserve"> contained</w:t>
      </w:r>
      <w:r w:rsidRPr="009A09FD" w:rsidR="00AB4EA5">
        <w:rPr>
          <w:snapToGrid w:val="0"/>
        </w:rPr>
        <w:t xml:space="preserve"> in </w:t>
      </w:r>
      <w:r w:rsidRPr="009A09FD">
        <w:rPr>
          <w:snapToGrid w:val="0"/>
        </w:rPr>
        <w:t xml:space="preserve">the Disclosure Package, the </w:t>
      </w:r>
      <w:r w:rsidRPr="009A09FD" w:rsidR="005F428E">
        <w:rPr>
          <w:snapToGrid w:val="0"/>
        </w:rPr>
        <w:t>Offering Circular</w:t>
      </w:r>
      <w:r w:rsidRPr="009A09FD">
        <w:rPr>
          <w:snapToGrid w:val="0"/>
        </w:rPr>
        <w:t xml:space="preserve"> or any Supplemental Offering Material or any amendment or supplement to any of the foregoing made in reliance upon, and in conformity with, information concerning such International Underwriter furnished in writing by or on behalf of such International Underwriter through the </w:t>
      </w:r>
      <w:r w:rsidRPr="009A09FD" w:rsidR="00BA0958">
        <w:rPr>
          <w:snapToGrid w:val="0"/>
        </w:rPr>
        <w:t>Overall Coordinators</w:t>
      </w:r>
      <w:r w:rsidRPr="009A09FD">
        <w:rPr>
          <w:snapToGrid w:val="0"/>
        </w:rPr>
        <w:t xml:space="preserve"> </w:t>
      </w:r>
      <w:r w:rsidRPr="009A09FD" w:rsidR="00642EB2">
        <w:rPr>
          <w:snapToGrid w:val="0"/>
        </w:rPr>
        <w:t xml:space="preserve">and the Joint Global Coordinators </w:t>
      </w:r>
      <w:r w:rsidRPr="009A09FD">
        <w:rPr>
          <w:snapToGrid w:val="0"/>
        </w:rPr>
        <w:t xml:space="preserve">to the Company expressly and specifically for use therein; </w:t>
      </w:r>
      <w:r w:rsidRPr="009A09FD">
        <w:rPr>
          <w:b/>
          <w:snapToGrid w:val="0"/>
        </w:rPr>
        <w:t>provided, however that</w:t>
      </w:r>
      <w:r w:rsidRPr="009A09FD">
        <w:rPr>
          <w:snapToGrid w:val="0"/>
        </w:rPr>
        <w:t xml:space="preserve"> the parties acknowledge and agree that for the purpose of this </w:t>
      </w:r>
      <w:bookmarkStart w:id="191" w:name="DocXTextRef111"/>
      <w:r w:rsidRPr="009A09FD">
        <w:rPr>
          <w:snapToGrid w:val="0"/>
        </w:rPr>
        <w:t xml:space="preserve">Section </w:t>
      </w:r>
      <w:bookmarkEnd w:id="191"/>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hereunder, the only information furnished to the Company by any International Underwriters through the </w:t>
      </w:r>
      <w:r w:rsidRPr="009A09FD" w:rsidR="00A11F0B">
        <w:rPr>
          <w:snapToGrid w:val="0"/>
        </w:rPr>
        <w:t xml:space="preserve">Overall Coordinators </w:t>
      </w:r>
      <w:r w:rsidRPr="009A09FD" w:rsidR="00642EB2">
        <w:rPr>
          <w:snapToGrid w:val="0"/>
        </w:rPr>
        <w:t xml:space="preserve">and the Joint Global Coordinators </w:t>
      </w:r>
      <w:r w:rsidRPr="009A09FD">
        <w:rPr>
          <w:snapToGrid w:val="0"/>
        </w:rPr>
        <w:t xml:space="preserve">expressly for use in the Disclosure Package, the </w:t>
      </w:r>
      <w:r w:rsidRPr="009A09FD" w:rsidR="005F428E">
        <w:rPr>
          <w:snapToGrid w:val="0"/>
        </w:rPr>
        <w:t>Offering Circular</w:t>
      </w:r>
      <w:r w:rsidRPr="009A09FD" w:rsidR="00F20173">
        <w:rPr>
          <w:snapToGrid w:val="0"/>
        </w:rPr>
        <w:t xml:space="preserve">, </w:t>
      </w:r>
      <w:r w:rsidRPr="009A09FD" w:rsidR="00F20173">
        <w:t>any Supplemental Offering Material</w:t>
      </w:r>
      <w:r w:rsidRPr="009A09FD">
        <w:rPr>
          <w:snapToGrid w:val="0"/>
        </w:rPr>
        <w:t xml:space="preserve"> or any amendment or supplement thereto is the International Underwriter Information (as defined in </w:t>
      </w:r>
      <w:bookmarkStart w:id="192" w:name="DocXTextRef112"/>
      <w:r w:rsidRPr="009A09FD">
        <w:rPr>
          <w:snapToGrid w:val="0"/>
        </w:rPr>
        <w:t xml:space="preserve">Section </w:t>
      </w:r>
      <w:bookmarkEnd w:id="192"/>
      <w:r w:rsidRPr="009A09FD">
        <w:rPr>
          <w:snapToGrid w:val="0"/>
        </w:rPr>
        <w:fldChar w:fldCharType="begin"/>
      </w:r>
      <w:r w:rsidRPr="009A09FD">
        <w:rPr>
          <w:snapToGrid w:val="0"/>
        </w:rPr>
        <w:instrText xml:space="preserve"> REF _Ref367265695 \r \h  \* MERGEFORMAT </w:instrText>
      </w:r>
      <w:r w:rsidRPr="009A09FD">
        <w:rPr>
          <w:snapToGrid w:val="0"/>
        </w:rPr>
        <w:fldChar w:fldCharType="separate"/>
      </w:r>
      <w:r w:rsidRPr="009A09FD" w:rsidR="00ED2E07">
        <w:rPr>
          <w:snapToGrid w:val="0"/>
        </w:rPr>
        <w:t>12</w:t>
      </w:r>
      <w:r w:rsidRPr="009A09FD">
        <w:rPr>
          <w:snapToGrid w:val="0"/>
        </w:rPr>
        <w:fldChar w:fldCharType="end"/>
      </w:r>
      <w:r w:rsidRPr="009A09FD">
        <w:rPr>
          <w:snapToGrid w:val="0"/>
        </w:rPr>
        <w:t xml:space="preserve">).  This indemnity agreement will be in addition to any liability that the </w:t>
      </w:r>
      <w:r w:rsidRPr="009A09FD">
        <w:rPr>
          <w:rFonts w:hint="eastAsia"/>
          <w:snapToGrid w:val="0"/>
        </w:rPr>
        <w:t>Warrantors</w:t>
      </w:r>
      <w:r w:rsidRPr="009A09FD">
        <w:rPr>
          <w:snapToGrid w:val="0"/>
        </w:rPr>
        <w:t xml:space="preserve"> may otherwise have.</w:t>
      </w:r>
      <w:bookmarkEnd w:id="188"/>
    </w:p>
    <w:p w:rsidR="001C5107" w:rsidRPr="009A09FD" w:rsidP="00EA70E5" w14:paraId="00736DE5" w14:textId="564E4BF3">
      <w:pPr>
        <w:pStyle w:val="Heading3"/>
        <w:rPr>
          <w:snapToGrid w:val="0"/>
        </w:rPr>
      </w:pPr>
      <w:bookmarkStart w:id="193" w:name="_Ref367265690"/>
      <w:r w:rsidRPr="009A09FD">
        <w:rPr>
          <w:snapToGrid w:val="0"/>
        </w:rPr>
        <w:t>Each International Underwriter, severally but not jointly, agrees to indemnify and hold harmless the Company</w:t>
      </w:r>
      <w:r w:rsidRPr="009A09FD" w:rsidR="00C37760">
        <w:rPr>
          <w:lang w:val="en-GB" w:eastAsia="zh-CN" w:bidi="ar-AE"/>
        </w:rPr>
        <w:t>, the Warranting Shareholders, the directors and officers of the Company</w:t>
      </w:r>
      <w:r w:rsidRPr="009A09FD">
        <w:rPr>
          <w:snapToGrid w:val="0"/>
        </w:rPr>
        <w:t xml:space="preserve"> from and against any loss, damage, expense, liability or claim which the Company </w:t>
      </w:r>
      <w:r w:rsidRPr="009A09FD" w:rsidR="00C37760">
        <w:rPr>
          <w:lang w:val="en-GB" w:eastAsia="zh-CN" w:bidi="ar-AE"/>
        </w:rPr>
        <w:t xml:space="preserve">or any of the aforementioned persons </w:t>
      </w:r>
      <w:r w:rsidRPr="009A09FD">
        <w:rPr>
          <w:snapToGrid w:val="0"/>
        </w:rPr>
        <w:t>may incur under the Securities Act, the Exchange Act, the common law</w:t>
      </w:r>
      <w:r w:rsidRPr="009A09FD" w:rsidR="00501230">
        <w:rPr>
          <w:snapToGrid w:val="0"/>
        </w:rPr>
        <w:t xml:space="preserve">, </w:t>
      </w:r>
      <w:r w:rsidRPr="009A09FD">
        <w:rPr>
          <w:snapToGrid w:val="0"/>
        </w:rPr>
        <w:t>or otherwise, insofar as such loss, damage, expense, liability or claim arises out of or is based upon any untrue statement or alleged untrue statement of a material fact contained in the Disclosure Package</w:t>
      </w:r>
      <w:r w:rsidRPr="009A09FD" w:rsidR="00F20173">
        <w:rPr>
          <w:snapToGrid w:val="0"/>
        </w:rPr>
        <w:t>,</w:t>
      </w:r>
      <w:r w:rsidRPr="009A09FD">
        <w:rPr>
          <w:snapToGrid w:val="0"/>
        </w:rPr>
        <w:t xml:space="preserve"> the </w:t>
      </w:r>
      <w:r w:rsidRPr="009A09FD" w:rsidR="005F428E">
        <w:rPr>
          <w:snapToGrid w:val="0"/>
        </w:rPr>
        <w:t>Offering Circular</w:t>
      </w:r>
      <w:r w:rsidRPr="009A09FD" w:rsidR="00F20173">
        <w:rPr>
          <w:snapToGrid w:val="0"/>
        </w:rPr>
        <w:t>,</w:t>
      </w:r>
      <w:r w:rsidRPr="009A09FD" w:rsidR="00F20173">
        <w:t xml:space="preserve"> any Supplemental Offering Material</w:t>
      </w:r>
      <w:r w:rsidRPr="009A09FD" w:rsidR="00D90164">
        <w:rPr>
          <w:snapToGrid w:val="0"/>
        </w:rPr>
        <w:t xml:space="preserve"> or any amendment or supplement to any of the foregoing,</w:t>
      </w:r>
      <w:r w:rsidRPr="009A09FD">
        <w:rPr>
          <w:snapToGrid w:val="0"/>
        </w:rPr>
        <w:t xml:space="preserve"> or omission or alleged omission to state therein a material fact necessary in order to make the statements therein, in light of the circumstances under which they were made, not misleading, but only to the extent that such untrue statement or alleged untrue statement or omission or alleged omission is made in reliance upon, and in conformity with, </w:t>
      </w:r>
      <w:r w:rsidRPr="009A09FD" w:rsidR="00525F2B">
        <w:rPr>
          <w:snapToGrid w:val="0"/>
        </w:rPr>
        <w:t xml:space="preserve">information concerning such International Underwriter </w:t>
      </w:r>
      <w:r w:rsidRPr="009A09FD">
        <w:rPr>
          <w:snapToGrid w:val="0"/>
        </w:rPr>
        <w:t xml:space="preserve">furnished in writing by or on behalf of such International Underwriter through the </w:t>
      </w:r>
      <w:r w:rsidRPr="009A09FD" w:rsidR="007A4EE5">
        <w:rPr>
          <w:snapToGrid w:val="0"/>
        </w:rPr>
        <w:t>Overall Coordinators</w:t>
      </w:r>
      <w:r w:rsidRPr="009A09FD" w:rsidR="00777D17">
        <w:rPr>
          <w:snapToGrid w:val="0"/>
        </w:rPr>
        <w:t xml:space="preserve"> and the Joint Global Coordinators</w:t>
      </w:r>
      <w:r w:rsidRPr="009A09FD" w:rsidR="00D60243">
        <w:rPr>
          <w:snapToGrid w:val="0"/>
        </w:rPr>
        <w:t xml:space="preserve"> </w:t>
      </w:r>
      <w:r w:rsidRPr="009A09FD">
        <w:rPr>
          <w:snapToGrid w:val="0"/>
        </w:rPr>
        <w:t>to the Company expressly and specifically for use therein</w:t>
      </w:r>
      <w:bookmarkEnd w:id="193"/>
      <w:r w:rsidRPr="009A09FD" w:rsidR="00C90D29">
        <w:rPr>
          <w:snapToGrid w:val="0"/>
        </w:rPr>
        <w:t xml:space="preserve">; provided, however that the parties acknowledge and agree that for the purpose of this Section </w:t>
      </w:r>
      <w:r w:rsidRPr="009A09FD" w:rsidR="0019337A">
        <w:rPr>
          <w:snapToGrid w:val="0"/>
        </w:rPr>
        <w:fldChar w:fldCharType="begin"/>
      </w:r>
      <w:r w:rsidRPr="009A09FD" w:rsidR="0019337A">
        <w:rPr>
          <w:snapToGrid w:val="0"/>
        </w:rPr>
        <w:instrText xml:space="preserve"> REF _Ref367265688 \r \h </w:instrText>
      </w:r>
      <w:r w:rsidRPr="009A09FD" w:rsidR="00A469A2">
        <w:rPr>
          <w:snapToGrid w:val="0"/>
        </w:rPr>
        <w:instrText xml:space="preserve"> \* MERGEFORMAT </w:instrText>
      </w:r>
      <w:r w:rsidRPr="009A09FD" w:rsidR="0019337A">
        <w:rPr>
          <w:snapToGrid w:val="0"/>
        </w:rPr>
        <w:fldChar w:fldCharType="separate"/>
      </w:r>
      <w:r w:rsidRPr="009A09FD" w:rsidR="00ED2E07">
        <w:rPr>
          <w:snapToGrid w:val="0"/>
        </w:rPr>
        <w:t>11</w:t>
      </w:r>
      <w:r w:rsidRPr="009A09FD" w:rsidR="0019337A">
        <w:rPr>
          <w:snapToGrid w:val="0"/>
        </w:rPr>
        <w:fldChar w:fldCharType="end"/>
      </w:r>
      <w:r w:rsidRPr="009A09FD" w:rsidR="0019337A">
        <w:rPr>
          <w:snapToGrid w:val="0"/>
        </w:rPr>
        <w:t xml:space="preserve"> </w:t>
      </w:r>
      <w:r w:rsidRPr="009A09FD" w:rsidR="00C90D29">
        <w:rPr>
          <w:snapToGrid w:val="0"/>
        </w:rPr>
        <w:t>hereunder, the only information furnished to the Company by any International Underwriters through the Overall Coordinators</w:t>
      </w:r>
      <w:r w:rsidRPr="009A09FD" w:rsidR="00642EB2">
        <w:rPr>
          <w:snapToGrid w:val="0"/>
        </w:rPr>
        <w:t xml:space="preserve"> and the Joint Global Coordinators</w:t>
      </w:r>
      <w:r w:rsidRPr="009A09FD" w:rsidR="00C90D29">
        <w:rPr>
          <w:snapToGrid w:val="0"/>
        </w:rPr>
        <w:t xml:space="preserve"> expressly for use in the Disclosure Package, the </w:t>
      </w:r>
      <w:r w:rsidRPr="009A09FD" w:rsidR="005F428E">
        <w:rPr>
          <w:snapToGrid w:val="0"/>
        </w:rPr>
        <w:t>Offering Circular</w:t>
      </w:r>
      <w:r w:rsidRPr="009A09FD" w:rsidR="00F20173">
        <w:rPr>
          <w:snapToGrid w:val="0"/>
        </w:rPr>
        <w:t>,</w:t>
      </w:r>
      <w:r w:rsidRPr="009A09FD" w:rsidR="00F20173">
        <w:t xml:space="preserve"> any Supplemental </w:t>
      </w:r>
      <w:r w:rsidRPr="009A09FD" w:rsidR="0031148B">
        <w:t xml:space="preserve">Offering </w:t>
      </w:r>
      <w:r w:rsidRPr="009A09FD" w:rsidR="00F20173">
        <w:t>Material</w:t>
      </w:r>
      <w:r w:rsidRPr="009A09FD" w:rsidR="00C90D29">
        <w:rPr>
          <w:snapToGrid w:val="0"/>
        </w:rPr>
        <w:t xml:space="preserve"> or any amendment or supplement thereto is the International Underwriter Information (as defined in Section </w:t>
      </w:r>
      <w:r w:rsidRPr="009A09FD" w:rsidR="00435EF8">
        <w:rPr>
          <w:snapToGrid w:val="0"/>
        </w:rPr>
        <w:fldChar w:fldCharType="begin"/>
      </w:r>
      <w:r w:rsidRPr="009A09FD" w:rsidR="00435EF8">
        <w:rPr>
          <w:snapToGrid w:val="0"/>
        </w:rPr>
        <w:instrText xml:space="preserve"> REF _Ref150627300 \r \h </w:instrText>
      </w:r>
      <w:r w:rsidRPr="009A09FD" w:rsidR="00A469A2">
        <w:rPr>
          <w:snapToGrid w:val="0"/>
        </w:rPr>
        <w:instrText xml:space="preserve"> \* MERGEFORMAT </w:instrText>
      </w:r>
      <w:r w:rsidRPr="009A09FD" w:rsidR="00435EF8">
        <w:rPr>
          <w:snapToGrid w:val="0"/>
        </w:rPr>
        <w:fldChar w:fldCharType="separate"/>
      </w:r>
      <w:r w:rsidRPr="009A09FD" w:rsidR="00ED2E07">
        <w:rPr>
          <w:snapToGrid w:val="0"/>
        </w:rPr>
        <w:t>12</w:t>
      </w:r>
      <w:r w:rsidRPr="009A09FD" w:rsidR="00435EF8">
        <w:rPr>
          <w:snapToGrid w:val="0"/>
        </w:rPr>
        <w:fldChar w:fldCharType="end"/>
      </w:r>
      <w:r w:rsidRPr="009A09FD" w:rsidR="00C90D29">
        <w:rPr>
          <w:snapToGrid w:val="0"/>
        </w:rPr>
        <w:t xml:space="preserve">).  </w:t>
      </w:r>
    </w:p>
    <w:p w:rsidR="001C5107" w:rsidRPr="009A09FD" w:rsidP="00EA70E5" w14:paraId="674BA502" w14:textId="14C49E8B">
      <w:pPr>
        <w:pStyle w:val="Heading3"/>
        <w:rPr>
          <w:snapToGrid w:val="0"/>
        </w:rPr>
      </w:pPr>
      <w:bookmarkStart w:id="194" w:name="_Ref367265691"/>
      <w:r w:rsidRPr="009A09FD">
        <w:rPr>
          <w:snapToGrid w:val="0"/>
        </w:rPr>
        <w:t>If any Proceeding is brought against a person (an “</w:t>
      </w:r>
      <w:r w:rsidRPr="009A09FD">
        <w:rPr>
          <w:b/>
          <w:snapToGrid w:val="0"/>
        </w:rPr>
        <w:t>Indemnified Party</w:t>
      </w:r>
      <w:r w:rsidRPr="009A09FD">
        <w:rPr>
          <w:snapToGrid w:val="0"/>
        </w:rPr>
        <w:t xml:space="preserve">”) in respect of which indemnity may be sought against </w:t>
      </w:r>
      <w:r w:rsidRPr="009A09FD">
        <w:rPr>
          <w:rFonts w:hint="eastAsia"/>
          <w:snapToGrid w:val="0"/>
        </w:rPr>
        <w:t xml:space="preserve">any of </w:t>
      </w:r>
      <w:r w:rsidRPr="009A09FD">
        <w:rPr>
          <w:snapToGrid w:val="0"/>
        </w:rPr>
        <w:t xml:space="preserve">the </w:t>
      </w:r>
      <w:r w:rsidRPr="009A09FD">
        <w:rPr>
          <w:rFonts w:hint="eastAsia"/>
          <w:snapToGrid w:val="0"/>
        </w:rPr>
        <w:t>Warrantors</w:t>
      </w:r>
      <w:r w:rsidRPr="009A09FD">
        <w:rPr>
          <w:snapToGrid w:val="0"/>
        </w:rPr>
        <w:t xml:space="preserve"> or an International Underwriter (as applicable, the “</w:t>
      </w:r>
      <w:r w:rsidRPr="009A09FD">
        <w:rPr>
          <w:b/>
          <w:snapToGrid w:val="0"/>
        </w:rPr>
        <w:t>Indemnifying Party</w:t>
      </w:r>
      <w:r w:rsidRPr="009A09FD">
        <w:rPr>
          <w:snapToGrid w:val="0"/>
        </w:rPr>
        <w:t xml:space="preserve">”) pursuant to either subsection </w:t>
      </w:r>
      <w:r w:rsidRPr="009A09FD">
        <w:rPr>
          <w:snapToGrid w:val="0"/>
        </w:rPr>
        <w:fldChar w:fldCharType="begin"/>
      </w:r>
      <w:r w:rsidRPr="009A09FD">
        <w:rPr>
          <w:snapToGrid w:val="0"/>
        </w:rPr>
        <w:instrText xml:space="preserve"> REF _Ref367265689 \r \h  \* MERGEFORMAT </w:instrText>
      </w:r>
      <w:r w:rsidRPr="009A09FD">
        <w:rPr>
          <w:snapToGrid w:val="0"/>
        </w:rPr>
        <w:fldChar w:fldCharType="separate"/>
      </w:r>
      <w:r w:rsidRPr="009A09FD" w:rsidR="00ED2E07">
        <w:rPr>
          <w:snapToGrid w:val="0"/>
        </w:rPr>
        <w:t>(a)</w:t>
      </w:r>
      <w:r w:rsidRPr="009A09FD">
        <w:rPr>
          <w:snapToGrid w:val="0"/>
        </w:rPr>
        <w:fldChar w:fldCharType="end"/>
      </w:r>
      <w:r w:rsidRPr="009A09FD">
        <w:rPr>
          <w:snapToGrid w:val="0"/>
        </w:rPr>
        <w:t xml:space="preserve"> or </w:t>
      </w:r>
      <w:r w:rsidRPr="009A09FD">
        <w:rPr>
          <w:snapToGrid w:val="0"/>
        </w:rPr>
        <w:fldChar w:fldCharType="begin"/>
      </w:r>
      <w:r w:rsidRPr="009A09FD">
        <w:rPr>
          <w:snapToGrid w:val="0"/>
        </w:rPr>
        <w:instrText xml:space="preserve"> REF _Ref367265690 \r \h  \* MERGEFORMAT </w:instrText>
      </w:r>
      <w:r w:rsidRPr="009A09FD">
        <w:rPr>
          <w:snapToGrid w:val="0"/>
        </w:rPr>
        <w:fldChar w:fldCharType="separate"/>
      </w:r>
      <w:r w:rsidRPr="009A09FD" w:rsidR="00ED2E07">
        <w:rPr>
          <w:snapToGrid w:val="0"/>
        </w:rPr>
        <w:t>(b)</w:t>
      </w:r>
      <w:r w:rsidRPr="009A09FD">
        <w:rPr>
          <w:snapToGrid w:val="0"/>
        </w:rPr>
        <w:fldChar w:fldCharType="end"/>
      </w:r>
      <w:r w:rsidRPr="009A09FD">
        <w:rPr>
          <w:snapToGrid w:val="0"/>
        </w:rPr>
        <w:t xml:space="preserve">, respectively, of this </w:t>
      </w:r>
      <w:bookmarkStart w:id="195" w:name="DocXTextRef117"/>
      <w:r w:rsidRPr="009A09FD">
        <w:rPr>
          <w:snapToGrid w:val="0"/>
        </w:rPr>
        <w:t xml:space="preserve">Section </w:t>
      </w:r>
      <w:bookmarkEnd w:id="195"/>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such Indemnified Party shall, if and to the extent permitted by any Law</w:t>
      </w:r>
      <w:r w:rsidRPr="009A09FD" w:rsidR="00E9471D">
        <w:rPr>
          <w:snapToGrid w:val="0"/>
        </w:rPr>
        <w:t xml:space="preserve"> or obligation of </w:t>
      </w:r>
      <w:r w:rsidRPr="009A09FD" w:rsidR="003A6288">
        <w:rPr>
          <w:snapToGrid w:val="0"/>
        </w:rPr>
        <w:t>confidentiality</w:t>
      </w:r>
      <w:r w:rsidRPr="009A09FD">
        <w:rPr>
          <w:snapToGrid w:val="0"/>
        </w:rPr>
        <w:t xml:space="preserve">, promptly notify such Indemnifying Party in writing of the institution of such Proceeding; </w:t>
      </w:r>
      <w:r w:rsidRPr="009A09FD">
        <w:rPr>
          <w:b/>
          <w:snapToGrid w:val="0"/>
        </w:rPr>
        <w:t>provided, however, that</w:t>
      </w:r>
      <w:r w:rsidRPr="009A09FD">
        <w:rPr>
          <w:snapToGrid w:val="0"/>
        </w:rPr>
        <w:t xml:space="preserve"> the omission to so notify such Indemnifying Party shall not relieve such Indemnifying Party from any liability which such Indemnifying Party may have to any Indemnified Party under this </w:t>
      </w:r>
      <w:bookmarkStart w:id="196" w:name="DocXTextRef118"/>
      <w:r w:rsidRPr="009A09FD">
        <w:rPr>
          <w:snapToGrid w:val="0"/>
        </w:rPr>
        <w:t xml:space="preserve">Section </w:t>
      </w:r>
      <w:bookmarkEnd w:id="196"/>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except to the extent that it has been materially prejudiced (through the forfeiture of substantive rights or defenses) by such failure</w:t>
      </w:r>
      <w:r w:rsidRPr="009A09FD" w:rsidR="001573E9">
        <w:rPr>
          <w:snapToGrid w:val="0"/>
        </w:rPr>
        <w:t xml:space="preserve">; and </w:t>
      </w:r>
      <w:r w:rsidRPr="009A09FD" w:rsidR="001573E9">
        <w:rPr>
          <w:b/>
          <w:bCs/>
          <w:snapToGrid w:val="0"/>
        </w:rPr>
        <w:t>provided, further, that</w:t>
      </w:r>
      <w:r w:rsidRPr="009A09FD" w:rsidR="001573E9">
        <w:rPr>
          <w:snapToGrid w:val="0"/>
        </w:rPr>
        <w:t xml:space="preserve"> the failure to notify the Indemnifying Party shall not relieve it from any liability that it may have to an Indemnified Party otherwise than under this Section </w:t>
      </w:r>
      <w:r w:rsidRPr="009A09FD" w:rsidR="006C4AC1">
        <w:rPr>
          <w:snapToGrid w:val="0"/>
        </w:rPr>
        <w:t>11</w:t>
      </w:r>
      <w:r w:rsidRPr="009A09FD">
        <w:rPr>
          <w:snapToGrid w:val="0"/>
        </w:rPr>
        <w:t>.</w:t>
      </w:r>
      <w:bookmarkEnd w:id="194"/>
    </w:p>
    <w:p w:rsidR="001C5107" w:rsidRPr="009A09FD" w:rsidP="00EA70E5" w14:paraId="5C062E1E" w14:textId="5D78F663">
      <w:pPr>
        <w:pStyle w:val="BodyText2"/>
        <w:rPr>
          <w:snapToGrid w:val="0"/>
        </w:rPr>
      </w:pPr>
      <w:r w:rsidRPr="009A09FD">
        <w:rPr>
          <w:snapToGrid w:val="0"/>
        </w:rPr>
        <w:t xml:space="preserve">The Indemnifying Party may participate at its expense in the defense of such Proceeding including appointing counsel at its expense to act for it in such Proceeding; </w:t>
      </w:r>
      <w:r w:rsidRPr="009A09FD">
        <w:rPr>
          <w:b/>
          <w:snapToGrid w:val="0"/>
        </w:rPr>
        <w:t>provided, however, that</w:t>
      </w:r>
      <w:r w:rsidRPr="009A09FD">
        <w:rPr>
          <w:snapToGrid w:val="0"/>
        </w:rPr>
        <w:t xml:space="preserve"> counsel to the Indemnifying Party shall not (except with the consent of any Indemnified Party or Parties) also be counsel to the Indemnified Party or Parties.  Unless such Indemnified Party or Parties consent to counsel to the Indemnifying Party acting as counsel to the Indemnified Party or Parties in such Proceeding, any Indemnified Party or Parties shall have the right to appoint its or their own separate counsel (in addition to local counsel) in such Proceeding; </w:t>
      </w:r>
      <w:r w:rsidRPr="009A09FD">
        <w:rPr>
          <w:b/>
          <w:snapToGrid w:val="0"/>
        </w:rPr>
        <w:t>provided, however, that</w:t>
      </w:r>
      <w:r w:rsidRPr="009A09FD">
        <w:rPr>
          <w:snapToGrid w:val="0"/>
        </w:rPr>
        <w:t xml:space="preserve"> the giving of such consent or appointment of such separate counsel (in addition to local counsel) shall be determined, as applicable, by the </w:t>
      </w:r>
      <w:r w:rsidRPr="009A09FD" w:rsidR="00536E2D">
        <w:rPr>
          <w:snapToGrid w:val="0"/>
        </w:rPr>
        <w:t>Overall Coordinators</w:t>
      </w:r>
      <w:r w:rsidRPr="009A09FD" w:rsidR="00D544B8">
        <w:rPr>
          <w:snapToGrid w:val="0"/>
        </w:rPr>
        <w:t>, the Joint Global Coordinators</w:t>
      </w:r>
      <w:r w:rsidRPr="009A09FD">
        <w:rPr>
          <w:snapToGrid w:val="0"/>
        </w:rPr>
        <w:t xml:space="preserve"> and the </w:t>
      </w:r>
      <w:r w:rsidRPr="009A09FD" w:rsidR="00536E2D">
        <w:rPr>
          <w:snapToGrid w:val="0"/>
        </w:rPr>
        <w:t xml:space="preserve">Joint </w:t>
      </w:r>
      <w:r w:rsidRPr="009A09FD" w:rsidR="004307BB">
        <w:rPr>
          <w:snapToGrid w:val="0"/>
        </w:rPr>
        <w:t>Sponsor</w:t>
      </w:r>
      <w:r w:rsidRPr="009A09FD" w:rsidR="00536E2D">
        <w:rPr>
          <w:snapToGrid w:val="0"/>
        </w:rPr>
        <w:t>s</w:t>
      </w:r>
      <w:r w:rsidRPr="009A09FD">
        <w:rPr>
          <w:snapToGrid w:val="0"/>
        </w:rPr>
        <w:t xml:space="preserve"> (in the case of such Indemnified Party or Parties being any </w:t>
      </w:r>
      <w:r w:rsidRPr="009A09FD" w:rsidR="006D3B9B">
        <w:rPr>
          <w:snapToGrid w:val="0"/>
        </w:rPr>
        <w:t>Overall Coordinator</w:t>
      </w:r>
      <w:r w:rsidRPr="009A09FD" w:rsidR="009C56E7">
        <w:rPr>
          <w:snapToGrid w:val="0"/>
        </w:rPr>
        <w:t xml:space="preserve">, </w:t>
      </w:r>
      <w:r w:rsidRPr="009A09FD" w:rsidR="00945B60">
        <w:rPr>
          <w:snapToGrid w:val="0"/>
        </w:rPr>
        <w:t xml:space="preserve">Sponsor-OC, Joint Sponsor, </w:t>
      </w:r>
      <w:r w:rsidRPr="009A09FD">
        <w:rPr>
          <w:snapToGrid w:val="0"/>
        </w:rPr>
        <w:t xml:space="preserve">Joint Global Coordinator, Joint Bookrunner, Joint Lead Manager, </w:t>
      </w:r>
      <w:r w:rsidRPr="009A09FD" w:rsidR="008B7971">
        <w:rPr>
          <w:snapToGrid w:val="0"/>
        </w:rPr>
        <w:t xml:space="preserve">CMI, </w:t>
      </w:r>
      <w:r w:rsidRPr="009A09FD">
        <w:rPr>
          <w:snapToGrid w:val="0"/>
        </w:rPr>
        <w:t xml:space="preserve">International Underwriter, </w:t>
      </w:r>
      <w:r w:rsidRPr="009A09FD" w:rsidR="00C1704D">
        <w:rPr>
          <w:snapToGrid w:val="0"/>
        </w:rPr>
        <w:t>each of their respective</w:t>
      </w:r>
      <w:r w:rsidRPr="009A09FD">
        <w:rPr>
          <w:snapToGrid w:val="0"/>
        </w:rPr>
        <w:t xml:space="preserve"> Affiliates, </w:t>
      </w:r>
      <w:r w:rsidRPr="009A09FD" w:rsidR="002D1DC7">
        <w:rPr>
          <w:snapToGrid w:val="0"/>
        </w:rPr>
        <w:t xml:space="preserve">as well as their respective head offices, branches, </w:t>
      </w:r>
      <w:r w:rsidRPr="009A09FD">
        <w:rPr>
          <w:snapToGrid w:val="0"/>
        </w:rPr>
        <w:t>its representatives</w:t>
      </w:r>
      <w:r w:rsidRPr="009A09FD">
        <w:rPr>
          <w:rFonts w:hint="eastAsia"/>
          <w:snapToGrid w:val="0"/>
        </w:rPr>
        <w:t xml:space="preserve">, </w:t>
      </w:r>
      <w:r w:rsidRPr="009A09FD">
        <w:rPr>
          <w:snapToGrid w:val="0"/>
        </w:rPr>
        <w:t xml:space="preserve">partners, associates, agents, directors, officers, members or employees, any person who controls any such </w:t>
      </w:r>
      <w:r w:rsidRPr="009A09FD" w:rsidR="00CD0CBD">
        <w:rPr>
          <w:snapToGrid w:val="0"/>
        </w:rPr>
        <w:t>Overall Coordinator</w:t>
      </w:r>
      <w:r w:rsidRPr="009A09FD" w:rsidR="00274EDC">
        <w:rPr>
          <w:snapToGrid w:val="0"/>
        </w:rPr>
        <w:t xml:space="preserve">, </w:t>
      </w:r>
      <w:r w:rsidRPr="009A09FD" w:rsidR="00A00D32">
        <w:rPr>
          <w:snapToGrid w:val="0"/>
        </w:rPr>
        <w:t xml:space="preserve">Sponsor-OC, Joint Sponsor, </w:t>
      </w:r>
      <w:r w:rsidRPr="009A09FD">
        <w:rPr>
          <w:snapToGrid w:val="0"/>
        </w:rPr>
        <w:t>Joint Global Coordinator, Joint Bookrunner, Joint Lead Manager</w:t>
      </w:r>
      <w:r w:rsidRPr="009A09FD" w:rsidR="00B55E0E">
        <w:rPr>
          <w:snapToGrid w:val="0"/>
        </w:rPr>
        <w:t>, CMI</w:t>
      </w:r>
      <w:r w:rsidRPr="009A09FD">
        <w:rPr>
          <w:snapToGrid w:val="0"/>
        </w:rPr>
        <w:t xml:space="preserve"> or International Underwriter</w:t>
      </w:r>
      <w:r w:rsidRPr="009A09FD" w:rsidR="00DD4704">
        <w:rPr>
          <w:snapToGrid w:val="0"/>
        </w:rPr>
        <w:t xml:space="preserve"> within the meaning of Section 15 of the Securities Act or Section 20 of the Exchange Act, </w:t>
      </w:r>
      <w:r w:rsidRPr="009A09FD">
        <w:rPr>
          <w:snapToGrid w:val="0"/>
        </w:rPr>
        <w:t>and any successor or assign of any of the foregoing persons), or by the Company (in the case of such Indemnified Party or Parties being the Company,</w:t>
      </w:r>
      <w:r w:rsidRPr="009A09FD" w:rsidR="00662B88">
        <w:rPr>
          <w:snapToGrid w:val="0"/>
        </w:rPr>
        <w:t xml:space="preserve"> the Warranting Shareholders,</w:t>
      </w:r>
      <w:r w:rsidRPr="009A09FD">
        <w:rPr>
          <w:snapToGrid w:val="0"/>
        </w:rPr>
        <w:t xml:space="preserve"> </w:t>
      </w:r>
      <w:r w:rsidRPr="009A09FD" w:rsidR="00662B88">
        <w:rPr>
          <w:snapToGrid w:val="0"/>
        </w:rPr>
        <w:t xml:space="preserve">the </w:t>
      </w:r>
      <w:r w:rsidRPr="009A09FD">
        <w:rPr>
          <w:snapToGrid w:val="0"/>
        </w:rPr>
        <w:t>directors and officers</w:t>
      </w:r>
      <w:r w:rsidRPr="009A09FD" w:rsidR="00341FF8">
        <w:rPr>
          <w:snapToGrid w:val="0"/>
        </w:rPr>
        <w:t xml:space="preserve"> </w:t>
      </w:r>
      <w:r w:rsidRPr="009A09FD" w:rsidR="00662B88">
        <w:rPr>
          <w:snapToGrid w:val="0"/>
        </w:rPr>
        <w:t>of the Company</w:t>
      </w:r>
      <w:r w:rsidRPr="009A09FD">
        <w:rPr>
          <w:snapToGrid w:val="0"/>
        </w:rPr>
        <w:t>, as applicable).  The fees and expenses of separate counsel (in addition to local counsel) to the Indemnified Party or Parties shall be borne by the Indemnifying Party and paid as incurred</w:t>
      </w:r>
      <w:r w:rsidRPr="009A09FD" w:rsidR="00705DD2">
        <w:rPr>
          <w:snapToGrid w:val="0"/>
        </w:rPr>
        <w:t xml:space="preserve">; it being understood, however, that such Indemnifying Party shall not be liable for the fees and expenses of more than </w:t>
      </w:r>
      <w:r w:rsidRPr="009A09FD" w:rsidR="00CF4F17">
        <w:rPr>
          <w:snapToGrid w:val="0"/>
        </w:rPr>
        <w:t>two</w:t>
      </w:r>
      <w:r w:rsidRPr="009A09FD" w:rsidR="00705DD2">
        <w:rPr>
          <w:snapToGrid w:val="0"/>
        </w:rPr>
        <w:t xml:space="preserve"> separate counsel (including any local counsel) in any one Proceeding or series of related Proceedings in the same jurisdiction representing the Indemnified Party or Parties who is or are parties to such Proceeding or Proceedings</w:t>
      </w:r>
      <w:r w:rsidRPr="009A09FD">
        <w:rPr>
          <w:snapToGrid w:val="0"/>
        </w:rPr>
        <w:t xml:space="preserve">; </w:t>
      </w:r>
    </w:p>
    <w:p w:rsidR="001C5107" w:rsidRPr="009A09FD" w:rsidP="00EA70E5" w14:paraId="74242BE2" w14:textId="4D7A6F9D">
      <w:pPr>
        <w:pStyle w:val="BodyText2"/>
        <w:rPr>
          <w:snapToGrid w:val="0"/>
        </w:rPr>
      </w:pPr>
      <w:r w:rsidRPr="009A09FD">
        <w:rPr>
          <w:snapToGrid w:val="0"/>
        </w:rPr>
        <w:t xml:space="preserve">The Indemnifying Party shall be liable for any settlement or compromise by the Indemnified Party or Parties of, or any judgment with respect to, any pending or threatened Proceeding, whether effected with or without the consent of such Indemnifying Party, and agrees to indemnify and hold harmless the Indemnified Party or Parties from and against any loss or liability by reason of such settlement, compromise or judgment.  No Indemnifying Party shall, without the written consent of the Indemnified Party, effect any settlement or compromise of, or consent to the entry of any judgment with respect to, any pending or threatened Proceeding in respect of which any Indemnified Party is or could be or could have been a party and indemnity or contribution could be or could have been sought hereunder by such Indemnified Party, unless such settlement, compromise or consent judgment includes an unconditional release of such Indemnified Party, in form and substance </w:t>
      </w:r>
      <w:r w:rsidRPr="009A09FD" w:rsidR="006C456B">
        <w:rPr>
          <w:snapToGrid w:val="0"/>
        </w:rPr>
        <w:t xml:space="preserve">reasonably </w:t>
      </w:r>
      <w:r w:rsidRPr="009A09FD">
        <w:rPr>
          <w:snapToGrid w:val="0"/>
        </w:rPr>
        <w:t>satisfactory to such Indemnified Party, from all liability on claims that are the subject matter of such Proceeding and does not include any statement as to or any admission of fault, culpability or a failure to act by or on behalf of such Indemnified Party.</w:t>
      </w:r>
    </w:p>
    <w:p w:rsidR="001C5107" w:rsidRPr="009A09FD" w:rsidP="00EA70E5" w14:paraId="2AB46807" w14:textId="3A1C469B">
      <w:pPr>
        <w:pStyle w:val="Heading3"/>
        <w:rPr>
          <w:snapToGrid w:val="0"/>
        </w:rPr>
      </w:pPr>
      <w:bookmarkStart w:id="197" w:name="_Ref367265692"/>
      <w:r w:rsidRPr="009A09FD">
        <w:rPr>
          <w:snapToGrid w:val="0"/>
        </w:rPr>
        <w:t xml:space="preserve">If the indemnification provided for in this </w:t>
      </w:r>
      <w:bookmarkStart w:id="198" w:name="DocXTextRef131"/>
      <w:r w:rsidRPr="009A09FD">
        <w:rPr>
          <w:snapToGrid w:val="0"/>
        </w:rPr>
        <w:t xml:space="preserve">Section </w:t>
      </w:r>
      <w:bookmarkEnd w:id="198"/>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is unavailable to an Indemnified Party under subsection </w:t>
      </w:r>
      <w:r w:rsidRPr="009A09FD">
        <w:rPr>
          <w:snapToGrid w:val="0"/>
        </w:rPr>
        <w:fldChar w:fldCharType="begin"/>
      </w:r>
      <w:r w:rsidRPr="009A09FD">
        <w:rPr>
          <w:snapToGrid w:val="0"/>
        </w:rPr>
        <w:instrText xml:space="preserve"> REF _Ref367265689 \r \h  \* MERGEFORMAT </w:instrText>
      </w:r>
      <w:r w:rsidRPr="009A09FD">
        <w:rPr>
          <w:snapToGrid w:val="0"/>
        </w:rPr>
        <w:fldChar w:fldCharType="separate"/>
      </w:r>
      <w:r w:rsidRPr="009A09FD" w:rsidR="00ED2E07">
        <w:rPr>
          <w:snapToGrid w:val="0"/>
        </w:rPr>
        <w:t>(a)</w:t>
      </w:r>
      <w:r w:rsidRPr="009A09FD">
        <w:rPr>
          <w:snapToGrid w:val="0"/>
        </w:rPr>
        <w:fldChar w:fldCharType="end"/>
      </w:r>
      <w:r w:rsidRPr="009A09FD">
        <w:rPr>
          <w:snapToGrid w:val="0"/>
        </w:rPr>
        <w:t xml:space="preserve"> or </w:t>
      </w:r>
      <w:r w:rsidRPr="009A09FD">
        <w:rPr>
          <w:snapToGrid w:val="0"/>
        </w:rPr>
        <w:fldChar w:fldCharType="begin"/>
      </w:r>
      <w:r w:rsidRPr="009A09FD">
        <w:rPr>
          <w:snapToGrid w:val="0"/>
        </w:rPr>
        <w:instrText xml:space="preserve"> REF _Ref367265690 \r \h  \* MERGEFORMAT </w:instrText>
      </w:r>
      <w:r w:rsidRPr="009A09FD">
        <w:rPr>
          <w:snapToGrid w:val="0"/>
        </w:rPr>
        <w:fldChar w:fldCharType="separate"/>
      </w:r>
      <w:r w:rsidRPr="009A09FD" w:rsidR="00ED2E07">
        <w:rPr>
          <w:snapToGrid w:val="0"/>
        </w:rPr>
        <w:t>(b)</w:t>
      </w:r>
      <w:r w:rsidRPr="009A09FD">
        <w:rPr>
          <w:snapToGrid w:val="0"/>
        </w:rPr>
        <w:fldChar w:fldCharType="end"/>
      </w:r>
      <w:r w:rsidRPr="009A09FD">
        <w:rPr>
          <w:snapToGrid w:val="0"/>
        </w:rPr>
        <w:t xml:space="preserve"> of this </w:t>
      </w:r>
      <w:bookmarkStart w:id="199" w:name="DocXTextRef132"/>
      <w:r w:rsidRPr="009A09FD">
        <w:rPr>
          <w:snapToGrid w:val="0"/>
        </w:rPr>
        <w:t xml:space="preserve">Section </w:t>
      </w:r>
      <w:bookmarkEnd w:id="199"/>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or insufficient to hold an Indemnified Party harmless in respect of any </w:t>
      </w:r>
      <w:r w:rsidRPr="009A09FD" w:rsidR="008263DE">
        <w:rPr>
          <w:snapToGrid w:val="0"/>
        </w:rPr>
        <w:t>Losses</w:t>
      </w:r>
      <w:r w:rsidRPr="009A09FD">
        <w:rPr>
          <w:snapToGrid w:val="0"/>
        </w:rPr>
        <w:t xml:space="preserve"> (or any Proceedings in respect thereof) referred to therein, then each applicable Indemnifying Party shall contribute to the amount paid or payable by such Indemnified Party as a result of such </w:t>
      </w:r>
      <w:r w:rsidRPr="009A09FD" w:rsidR="008263DE">
        <w:rPr>
          <w:snapToGrid w:val="0"/>
        </w:rPr>
        <w:t>Losses</w:t>
      </w:r>
      <w:r w:rsidRPr="009A09FD">
        <w:rPr>
          <w:snapToGrid w:val="0"/>
        </w:rPr>
        <w:t xml:space="preserve"> (or any Proceedings in respect thereof) </w:t>
      </w:r>
      <w:bookmarkStart w:id="200" w:name="DocXTextRef129"/>
      <w:bookmarkStart w:id="201" w:name="A1"/>
      <w:r w:rsidRPr="009A09FD">
        <w:rPr>
          <w:snapToGrid w:val="0"/>
        </w:rPr>
        <w:t>(A)</w:t>
      </w:r>
      <w:bookmarkEnd w:id="200"/>
      <w:bookmarkEnd w:id="201"/>
      <w:r w:rsidRPr="009A09FD">
        <w:rPr>
          <w:snapToGrid w:val="0"/>
        </w:rPr>
        <w:t xml:space="preserve"> in such proportion as is appropriate to reflect the relative benefits received by the </w:t>
      </w:r>
      <w:r w:rsidRPr="009A09FD">
        <w:rPr>
          <w:rFonts w:hint="eastAsia"/>
          <w:snapToGrid w:val="0"/>
        </w:rPr>
        <w:t>Warrantors</w:t>
      </w:r>
      <w:r w:rsidRPr="009A09FD">
        <w:rPr>
          <w:snapToGrid w:val="0"/>
        </w:rPr>
        <w:t xml:space="preserve"> on the one hand, and by </w:t>
      </w:r>
      <w:r w:rsidRPr="009A09FD" w:rsidR="009C1EEB">
        <w:rPr>
          <w:snapToGrid w:val="0"/>
        </w:rPr>
        <w:t>the Overall Coordinators, the Sponsor-OCs, the Joint Sponsors, the Joint Global Coordinators, the Joint Bookrunners, the Joint Lead Managers, the CMIs and the International Underwriters, each of their respective Affiliates</w:t>
      </w:r>
      <w:r w:rsidRPr="009A09FD">
        <w:rPr>
          <w:snapToGrid w:val="0"/>
        </w:rPr>
        <w:t xml:space="preserve"> on the other hand, from the International Offering or </w:t>
      </w:r>
      <w:bookmarkStart w:id="202" w:name="DocXTextRef130"/>
      <w:r w:rsidRPr="009A09FD">
        <w:rPr>
          <w:snapToGrid w:val="0"/>
        </w:rPr>
        <w:t>(B)</w:t>
      </w:r>
      <w:bookmarkEnd w:id="202"/>
      <w:r w:rsidRPr="009A09FD">
        <w:rPr>
          <w:snapToGrid w:val="0"/>
        </w:rPr>
        <w:t xml:space="preserve"> if the allocation provided by subsection (A) above is not permitted by applicable law, in such proportion as is appropriate to reflect not only the relative benefits referred to in subsection (A) above but also the relative fault of the </w:t>
      </w:r>
      <w:r w:rsidRPr="009A09FD">
        <w:rPr>
          <w:rFonts w:hint="eastAsia"/>
          <w:snapToGrid w:val="0"/>
        </w:rPr>
        <w:t>Warrantors</w:t>
      </w:r>
      <w:r w:rsidRPr="009A09FD">
        <w:rPr>
          <w:snapToGrid w:val="0"/>
        </w:rPr>
        <w:t xml:space="preserve"> on the one hand, and of </w:t>
      </w:r>
      <w:r w:rsidRPr="009A09FD" w:rsidR="009C1EEB">
        <w:rPr>
          <w:snapToGrid w:val="0"/>
        </w:rPr>
        <w:t>the Overall Coordinators, the Sponsor-OCs, the Joint Sponsors, the Joint Global Coordinators, the Joint Bookrunners, the Joint Lead Managers, the CMIs and the International Underwriters, each of their respective Affiliates</w:t>
      </w:r>
      <w:r w:rsidRPr="009A09FD">
        <w:rPr>
          <w:snapToGrid w:val="0"/>
        </w:rPr>
        <w:t xml:space="preserve"> on the other hand, in connection with the statements or omissions which resulted in such </w:t>
      </w:r>
      <w:r w:rsidRPr="009A09FD" w:rsidR="004108D9">
        <w:rPr>
          <w:snapToGrid w:val="0"/>
        </w:rPr>
        <w:t>Losses</w:t>
      </w:r>
      <w:r w:rsidRPr="009A09FD">
        <w:rPr>
          <w:snapToGrid w:val="0"/>
        </w:rPr>
        <w:t xml:space="preserve"> (or any Proceedings in respect thereof), as well as any other relevant equitable considerations.</w:t>
      </w:r>
      <w:bookmarkEnd w:id="197"/>
    </w:p>
    <w:p w:rsidR="001C5107" w:rsidRPr="009A09FD" w:rsidP="00EA70E5" w14:paraId="66078FCF" w14:textId="5FBBC823">
      <w:pPr>
        <w:pStyle w:val="BodyText2"/>
        <w:rPr>
          <w:snapToGrid w:val="0"/>
        </w:rPr>
      </w:pPr>
      <w:r w:rsidRPr="009A09FD">
        <w:rPr>
          <w:snapToGrid w:val="0"/>
        </w:rPr>
        <w:t xml:space="preserve">The relative benefits received by the </w:t>
      </w:r>
      <w:r w:rsidRPr="009A09FD">
        <w:rPr>
          <w:rFonts w:hint="eastAsia"/>
          <w:snapToGrid w:val="0"/>
        </w:rPr>
        <w:t>Warrantors</w:t>
      </w:r>
      <w:r w:rsidRPr="009A09FD">
        <w:rPr>
          <w:snapToGrid w:val="0"/>
        </w:rPr>
        <w:t xml:space="preserve"> on the one hand, and by </w:t>
      </w:r>
      <w:r w:rsidRPr="009A09FD" w:rsidR="009C1EEB">
        <w:rPr>
          <w:snapToGrid w:val="0"/>
        </w:rPr>
        <w:t>the Overall Coordinators, the Sponsor-OCs, the Joint Sponsors, the Joint Global Coordinators, the Joint Bookrunners, the Joint Lead Managers, the CMIs and the International Underwriters, each of their respective Affiliates</w:t>
      </w:r>
      <w:r w:rsidRPr="009A09FD">
        <w:rPr>
          <w:snapToGrid w:val="0"/>
        </w:rPr>
        <w:t xml:space="preserve"> on the other hand, shall be deemed to be in the same respective proportions which the total proceeds from the International Offering received by</w:t>
      </w:r>
      <w:r w:rsidRPr="009A09FD" w:rsidR="00F20173">
        <w:rPr>
          <w:snapToGrid w:val="0"/>
        </w:rPr>
        <w:t xml:space="preserve"> the</w:t>
      </w:r>
      <w:r w:rsidRPr="009A09FD">
        <w:rPr>
          <w:snapToGrid w:val="0"/>
        </w:rPr>
        <w:t xml:space="preserve"> </w:t>
      </w:r>
      <w:r w:rsidRPr="009A09FD" w:rsidR="00937892">
        <w:rPr>
          <w:snapToGrid w:val="0"/>
        </w:rPr>
        <w:t>Company</w:t>
      </w:r>
      <w:r w:rsidRPr="009A09FD">
        <w:rPr>
          <w:snapToGrid w:val="0"/>
        </w:rPr>
        <w:t xml:space="preserve"> (net of the total commissions</w:t>
      </w:r>
      <w:r w:rsidRPr="009A09FD" w:rsidR="00F20173">
        <w:rPr>
          <w:snapToGrid w:val="0"/>
        </w:rPr>
        <w:t xml:space="preserve"> and incentive fee</w:t>
      </w:r>
      <w:r w:rsidRPr="009A09FD">
        <w:rPr>
          <w:snapToGrid w:val="0"/>
        </w:rPr>
        <w:t xml:space="preserve"> received by the International Underwriters pursuant to Section </w:t>
      </w:r>
      <w:r w:rsidRPr="009A09FD">
        <w:rPr>
          <w:snapToGrid w:val="0"/>
        </w:rPr>
        <w:fldChar w:fldCharType="begin"/>
      </w:r>
      <w:r w:rsidRPr="009A09FD">
        <w:rPr>
          <w:snapToGrid w:val="0"/>
        </w:rPr>
        <w:instrText xml:space="preserve"> REF _Ref517407643 \w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hereof but before deducting expenses), and the total commissions</w:t>
      </w:r>
      <w:r w:rsidRPr="009A09FD" w:rsidR="00F20173">
        <w:rPr>
          <w:snapToGrid w:val="0"/>
        </w:rPr>
        <w:t xml:space="preserve"> and incentive fee</w:t>
      </w:r>
      <w:r w:rsidRPr="009A09FD">
        <w:rPr>
          <w:snapToGrid w:val="0"/>
        </w:rPr>
        <w:t xml:space="preserve"> received by the International Underwriters pursuant to </w:t>
      </w:r>
      <w:bookmarkStart w:id="203" w:name="DocXTextRef134"/>
      <w:r w:rsidRPr="009A09FD">
        <w:rPr>
          <w:snapToGrid w:val="0"/>
        </w:rPr>
        <w:t xml:space="preserve">Section </w:t>
      </w:r>
      <w:bookmarkEnd w:id="203"/>
      <w:r w:rsidRPr="009A09FD">
        <w:rPr>
          <w:snapToGrid w:val="0"/>
        </w:rPr>
        <w:fldChar w:fldCharType="begin"/>
      </w:r>
      <w:r w:rsidRPr="009A09FD">
        <w:rPr>
          <w:snapToGrid w:val="0"/>
        </w:rPr>
        <w:instrText xml:space="preserve"> REF _Ref517407647 \w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hereof, bear to the aggregate Offer Price of the International Offer Shares.  The relative fault of the </w:t>
      </w:r>
      <w:r w:rsidRPr="009A09FD">
        <w:rPr>
          <w:rFonts w:hint="eastAsia"/>
          <w:snapToGrid w:val="0"/>
        </w:rPr>
        <w:t>Warrantors</w:t>
      </w:r>
      <w:r w:rsidRPr="009A09FD">
        <w:rPr>
          <w:snapToGrid w:val="0"/>
        </w:rPr>
        <w:t xml:space="preserve"> on the one hand, and of the International Underwriters on the other hand, shall be determined by reference to, among other things, whether the untrue or alleged untrue statement of a material fact or the omission or alleged omission to state a material fact relates to information supplied by the </w:t>
      </w:r>
      <w:r w:rsidRPr="009A09FD">
        <w:rPr>
          <w:rFonts w:hint="eastAsia"/>
          <w:snapToGrid w:val="0"/>
        </w:rPr>
        <w:t>Warrantors</w:t>
      </w:r>
      <w:r w:rsidRPr="009A09FD">
        <w:rPr>
          <w:snapToGrid w:val="0"/>
        </w:rPr>
        <w:t xml:space="preserve"> on the one hand, or by </w:t>
      </w:r>
      <w:r w:rsidRPr="009A09FD" w:rsidR="009C1EEB">
        <w:rPr>
          <w:snapToGrid w:val="0"/>
        </w:rPr>
        <w:t>the Overall Coordinators, the Sponsor-OCs, the Joint Sponsors, the Joint Global Coordinators, the Joint Bookrunners, the Joint Lead Managers, the CMIs and the International Underwriters, each of their respective Affiliates</w:t>
      </w:r>
      <w:r w:rsidRPr="009A09FD">
        <w:rPr>
          <w:snapToGrid w:val="0"/>
        </w:rPr>
        <w:t xml:space="preserve"> on the other hand, and the parties’ relative intent, knowledge, access to information and opportunity to correct or prevent such statement or omission.</w:t>
      </w:r>
    </w:p>
    <w:p w:rsidR="001C5107" w:rsidRPr="009A09FD" w:rsidP="00EA70E5" w14:paraId="4B24EC0A" w14:textId="3CF26E47">
      <w:pPr>
        <w:pStyle w:val="Heading3"/>
        <w:rPr>
          <w:snapToGrid w:val="0"/>
        </w:rPr>
      </w:pPr>
      <w:bookmarkStart w:id="204" w:name="_Ref367265693"/>
      <w:r w:rsidRPr="009A09FD">
        <w:rPr>
          <w:snapToGrid w:val="0"/>
        </w:rPr>
        <w:t xml:space="preserve">The </w:t>
      </w:r>
      <w:r w:rsidRPr="009A09FD">
        <w:rPr>
          <w:rFonts w:hint="eastAsia"/>
          <w:snapToGrid w:val="0"/>
        </w:rPr>
        <w:t>Warrantors</w:t>
      </w:r>
      <w:r w:rsidRPr="009A09FD" w:rsidR="007723A8">
        <w:rPr>
          <w:snapToGrid w:val="0"/>
        </w:rPr>
        <w:t>, t</w:t>
      </w:r>
      <w:r w:rsidRPr="009A09FD" w:rsidR="00C936F9">
        <w:rPr>
          <w:snapToGrid w:val="0"/>
        </w:rPr>
        <w:t>he Overall Coordinators, the Sponsor-OC</w:t>
      </w:r>
      <w:r w:rsidR="00850759">
        <w:rPr>
          <w:snapToGrid w:val="0"/>
        </w:rPr>
        <w:t>s</w:t>
      </w:r>
      <w:r w:rsidRPr="009A09FD" w:rsidR="00C936F9">
        <w:rPr>
          <w:snapToGrid w:val="0"/>
        </w:rPr>
        <w:t>, the Joint Sponsors, the Joint Global Coordinators, the Joint Bookrunners, the Joint Lead Managers, the CMIs</w:t>
      </w:r>
      <w:r w:rsidRPr="009A09FD" w:rsidR="007723A8">
        <w:rPr>
          <w:snapToGrid w:val="0"/>
        </w:rPr>
        <w:t xml:space="preserve"> and</w:t>
      </w:r>
      <w:r w:rsidRPr="009A09FD">
        <w:rPr>
          <w:rFonts w:hint="eastAsia"/>
          <w:snapToGrid w:val="0"/>
        </w:rPr>
        <w:t xml:space="preserve"> the International Underwriters </w:t>
      </w:r>
      <w:r w:rsidRPr="009A09FD">
        <w:rPr>
          <w:snapToGrid w:val="0"/>
        </w:rPr>
        <w:t xml:space="preserve">agree that it would not be just and equitable if contribution pursuant to </w:t>
      </w:r>
      <w:r w:rsidRPr="009A09FD" w:rsidR="006C2FA3">
        <w:rPr>
          <w:snapToGrid w:val="0"/>
        </w:rPr>
        <w:t xml:space="preserve">subsection </w:t>
      </w:r>
      <w:r w:rsidRPr="009A09FD" w:rsidR="006C2FA3">
        <w:rPr>
          <w:snapToGrid w:val="0"/>
        </w:rPr>
        <w:fldChar w:fldCharType="begin"/>
      </w:r>
      <w:r w:rsidRPr="009A09FD" w:rsidR="006C2FA3">
        <w:rPr>
          <w:snapToGrid w:val="0"/>
        </w:rPr>
        <w:instrText xml:space="preserve"> REF _Ref367265692 \r \h  \* MERGEFORMAT </w:instrText>
      </w:r>
      <w:r w:rsidRPr="009A09FD" w:rsidR="006C2FA3">
        <w:rPr>
          <w:snapToGrid w:val="0"/>
        </w:rPr>
        <w:fldChar w:fldCharType="separate"/>
      </w:r>
      <w:r w:rsidRPr="009A09FD" w:rsidR="00ED2E07">
        <w:rPr>
          <w:snapToGrid w:val="0"/>
        </w:rPr>
        <w:t>(d)</w:t>
      </w:r>
      <w:r w:rsidRPr="009A09FD" w:rsidR="006C2FA3">
        <w:rPr>
          <w:snapToGrid w:val="0"/>
        </w:rPr>
        <w:fldChar w:fldCharType="end"/>
      </w:r>
      <w:r w:rsidRPr="009A09FD" w:rsidR="006C2FA3">
        <w:rPr>
          <w:snapToGrid w:val="0"/>
        </w:rPr>
        <w:t xml:space="preserve"> of </w:t>
      </w:r>
      <w:r w:rsidRPr="009A09FD">
        <w:rPr>
          <w:snapToGrid w:val="0"/>
        </w:rPr>
        <w:t xml:space="preserve">this </w:t>
      </w:r>
      <w:bookmarkStart w:id="205" w:name="DocXTextRef135"/>
      <w:r w:rsidRPr="009A09FD">
        <w:rPr>
          <w:snapToGrid w:val="0"/>
        </w:rPr>
        <w:t xml:space="preserve">Section </w:t>
      </w:r>
      <w:bookmarkEnd w:id="205"/>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were determined by </w:t>
      </w:r>
      <w:r w:rsidRPr="009A09FD">
        <w:rPr>
          <w:b/>
          <w:i/>
          <w:snapToGrid w:val="0"/>
        </w:rPr>
        <w:t>pro rata</w:t>
      </w:r>
      <w:r w:rsidRPr="009A09FD">
        <w:rPr>
          <w:snapToGrid w:val="0"/>
        </w:rPr>
        <w:t xml:space="preserve"> allocation (even if the International Underwriters </w:t>
      </w:r>
      <w:r w:rsidRPr="009A09FD" w:rsidR="00D70E8C">
        <w:rPr>
          <w:snapToGrid w:val="0"/>
        </w:rPr>
        <w:t xml:space="preserve">and their Affiliates </w:t>
      </w:r>
      <w:r w:rsidRPr="009A09FD">
        <w:rPr>
          <w:snapToGrid w:val="0"/>
        </w:rPr>
        <w:t xml:space="preserve">were treated as one entity for such purpose) or by any other method of allocation that does not take account of the equitable considerations referred to above in subsection </w:t>
      </w:r>
      <w:r w:rsidRPr="009A09FD">
        <w:rPr>
          <w:snapToGrid w:val="0"/>
        </w:rPr>
        <w:fldChar w:fldCharType="begin"/>
      </w:r>
      <w:r w:rsidRPr="009A09FD">
        <w:rPr>
          <w:snapToGrid w:val="0"/>
        </w:rPr>
        <w:instrText xml:space="preserve"> REF _Ref367265692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of this </w:t>
      </w:r>
      <w:bookmarkStart w:id="206" w:name="DocXTextRef136"/>
      <w:r w:rsidRPr="009A09FD">
        <w:rPr>
          <w:snapToGrid w:val="0"/>
        </w:rPr>
        <w:t xml:space="preserve">Section </w:t>
      </w:r>
      <w:bookmarkEnd w:id="206"/>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For the avoidance of doubt, the amount paid or payable by an Indemnified Party as a result of the </w:t>
      </w:r>
      <w:r w:rsidRPr="009A09FD" w:rsidR="006C2FA3">
        <w:rPr>
          <w:snapToGrid w:val="0"/>
        </w:rPr>
        <w:t>Losses</w:t>
      </w:r>
      <w:r w:rsidRPr="009A09FD">
        <w:rPr>
          <w:snapToGrid w:val="0"/>
        </w:rPr>
        <w:t xml:space="preserve"> (or the Proceedings in respect thereof) referred to above in subsection </w:t>
      </w:r>
      <w:r w:rsidRPr="009A09FD">
        <w:rPr>
          <w:snapToGrid w:val="0"/>
        </w:rPr>
        <w:fldChar w:fldCharType="begin"/>
      </w:r>
      <w:r w:rsidRPr="009A09FD">
        <w:rPr>
          <w:snapToGrid w:val="0"/>
        </w:rPr>
        <w:instrText xml:space="preserve"> REF _Ref367265692 \r \h  \* MERGEFORMAT </w:instrText>
      </w:r>
      <w:r w:rsidRPr="009A09FD">
        <w:rPr>
          <w:snapToGrid w:val="0"/>
        </w:rPr>
        <w:fldChar w:fldCharType="separate"/>
      </w:r>
      <w:r w:rsidRPr="009A09FD" w:rsidR="00ED2E07">
        <w:rPr>
          <w:snapToGrid w:val="0"/>
        </w:rPr>
        <w:t>(d)</w:t>
      </w:r>
      <w:r w:rsidRPr="009A09FD">
        <w:rPr>
          <w:snapToGrid w:val="0"/>
        </w:rPr>
        <w:fldChar w:fldCharType="end"/>
      </w:r>
      <w:r w:rsidRPr="009A09FD">
        <w:rPr>
          <w:snapToGrid w:val="0"/>
        </w:rPr>
        <w:t xml:space="preserve"> of this </w:t>
      </w:r>
      <w:bookmarkStart w:id="207" w:name="DocXTextRef137"/>
      <w:r w:rsidRPr="009A09FD">
        <w:rPr>
          <w:snapToGrid w:val="0"/>
        </w:rPr>
        <w:t xml:space="preserve">Section </w:t>
      </w:r>
      <w:bookmarkEnd w:id="207"/>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shall include all legal and other expenses </w:t>
      </w:r>
      <w:r w:rsidRPr="009A09FD" w:rsidR="002E50FF">
        <w:rPr>
          <w:snapToGrid w:val="0"/>
        </w:rPr>
        <w:t xml:space="preserve">reasonably </w:t>
      </w:r>
      <w:r w:rsidRPr="009A09FD">
        <w:rPr>
          <w:snapToGrid w:val="0"/>
        </w:rPr>
        <w:t xml:space="preserve">incurred by such Indemnified Party in connection with investigating or defending such </w:t>
      </w:r>
      <w:r w:rsidRPr="009A09FD" w:rsidR="00956F0D">
        <w:rPr>
          <w:snapToGrid w:val="0"/>
        </w:rPr>
        <w:t>Losses</w:t>
      </w:r>
      <w:r w:rsidRPr="009A09FD">
        <w:rPr>
          <w:snapToGrid w:val="0"/>
        </w:rPr>
        <w:t xml:space="preserve"> (or such Proceedings in respect thereof).  Notwithstanding the provisions of this </w:t>
      </w:r>
      <w:bookmarkStart w:id="208" w:name="DocXTextRef138"/>
      <w:r w:rsidRPr="009A09FD">
        <w:rPr>
          <w:snapToGrid w:val="0"/>
        </w:rPr>
        <w:t xml:space="preserve">Section </w:t>
      </w:r>
      <w:bookmarkEnd w:id="208"/>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no International Underwriter </w:t>
      </w:r>
      <w:r w:rsidRPr="009A09FD" w:rsidR="005C4EF6">
        <w:rPr>
          <w:snapToGrid w:val="0"/>
        </w:rPr>
        <w:t xml:space="preserve">nor its Affiliates </w:t>
      </w:r>
      <w:r w:rsidRPr="009A09FD">
        <w:rPr>
          <w:snapToGrid w:val="0"/>
        </w:rPr>
        <w:t>shall be required to contribute any amount in excess of the amount by which the commission</w:t>
      </w:r>
      <w:r w:rsidRPr="009A09FD" w:rsidR="00662B88">
        <w:rPr>
          <w:snapToGrid w:val="0"/>
        </w:rPr>
        <w:t xml:space="preserve"> </w:t>
      </w:r>
      <w:r w:rsidRPr="009A09FD">
        <w:rPr>
          <w:snapToGrid w:val="0"/>
        </w:rPr>
        <w:t xml:space="preserve">received by such International Underwriter pursuant to </w:t>
      </w:r>
      <w:bookmarkStart w:id="209" w:name="DocXTextRef139"/>
      <w:r w:rsidRPr="009A09FD">
        <w:rPr>
          <w:snapToGrid w:val="0"/>
        </w:rPr>
        <w:t xml:space="preserve">Section </w:t>
      </w:r>
      <w:bookmarkEnd w:id="209"/>
      <w:r w:rsidRPr="009A09FD">
        <w:rPr>
          <w:snapToGrid w:val="0"/>
        </w:rPr>
        <w:fldChar w:fldCharType="begin"/>
      </w:r>
      <w:r w:rsidRPr="009A09FD">
        <w:rPr>
          <w:snapToGrid w:val="0"/>
        </w:rPr>
        <w:instrText xml:space="preserve"> REF _Ref517407314 \n \h </w:instrText>
      </w:r>
      <w:r w:rsidRPr="009A09FD" w:rsidR="00A469A2">
        <w:rPr>
          <w:snapToGrid w:val="0"/>
        </w:rPr>
        <w:instrText xml:space="preserve"> \* MERGEFORMAT </w:instrText>
      </w:r>
      <w:r w:rsidRPr="009A09FD">
        <w:rPr>
          <w:snapToGrid w:val="0"/>
        </w:rPr>
        <w:fldChar w:fldCharType="separate"/>
      </w:r>
      <w:r w:rsidRPr="009A09FD" w:rsidR="00ED2E07">
        <w:rPr>
          <w:snapToGrid w:val="0"/>
        </w:rPr>
        <w:t>1</w:t>
      </w:r>
      <w:r w:rsidRPr="009A09FD">
        <w:rPr>
          <w:snapToGrid w:val="0"/>
        </w:rPr>
        <w:fldChar w:fldCharType="end"/>
      </w:r>
      <w:r w:rsidRPr="009A09FD">
        <w:rPr>
          <w:snapToGrid w:val="0"/>
        </w:rPr>
        <w:t xml:space="preserve"> hereof exceeds the amount of any damage that such International Underwriter </w:t>
      </w:r>
      <w:r w:rsidRPr="009A09FD" w:rsidR="005C4EF6">
        <w:rPr>
          <w:snapToGrid w:val="0"/>
        </w:rPr>
        <w:t>or its Affiliates have</w:t>
      </w:r>
      <w:r w:rsidRPr="009A09FD">
        <w:rPr>
          <w:snapToGrid w:val="0"/>
        </w:rPr>
        <w:t xml:space="preserve"> otherwise been required to pay by reason of such untrue or alleged untrue statement or omission or alleged omission.  No person guilty of fraudulent misrepresentation shall be entitled to contribution from any person who was not guilty of such fraudulent misrepresentation.  The International Underwriters’ obligations to contribute pursuant to this </w:t>
      </w:r>
      <w:bookmarkStart w:id="210" w:name="DocXTextRef140"/>
      <w:r w:rsidRPr="009A09FD">
        <w:rPr>
          <w:snapToGrid w:val="0"/>
        </w:rPr>
        <w:t xml:space="preserve">Section </w:t>
      </w:r>
      <w:bookmarkEnd w:id="210"/>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are several in proportions to their respective purchase obligations and not joint.  The </w:t>
      </w:r>
      <w:r w:rsidRPr="009A09FD">
        <w:rPr>
          <w:rFonts w:hint="eastAsia"/>
          <w:snapToGrid w:val="0"/>
        </w:rPr>
        <w:t>Warrantors</w:t>
      </w:r>
      <w:r w:rsidRPr="009A09FD">
        <w:rPr>
          <w:snapToGrid w:val="0"/>
        </w:rPr>
        <w:t xml:space="preserve">’ obligations to contribute pursuant to this </w:t>
      </w:r>
      <w:bookmarkStart w:id="211" w:name="DocXTextRef141"/>
      <w:r w:rsidRPr="009A09FD">
        <w:rPr>
          <w:snapToGrid w:val="0"/>
        </w:rPr>
        <w:t xml:space="preserve">Section </w:t>
      </w:r>
      <w:bookmarkEnd w:id="211"/>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w:t>
      </w:r>
      <w:r w:rsidRPr="009A09FD">
        <w:rPr>
          <w:rFonts w:hint="eastAsia"/>
          <w:snapToGrid w:val="0"/>
        </w:rPr>
        <w:t xml:space="preserve">are joint and several and </w:t>
      </w:r>
      <w:r w:rsidRPr="009A09FD">
        <w:rPr>
          <w:snapToGrid w:val="0"/>
        </w:rPr>
        <w:t xml:space="preserve">will be in addition to any liability that the </w:t>
      </w:r>
      <w:r w:rsidRPr="009A09FD">
        <w:rPr>
          <w:rFonts w:hint="eastAsia"/>
          <w:snapToGrid w:val="0"/>
        </w:rPr>
        <w:t>Warrantors</w:t>
      </w:r>
      <w:r w:rsidRPr="009A09FD">
        <w:rPr>
          <w:snapToGrid w:val="0"/>
        </w:rPr>
        <w:t xml:space="preserve"> may otherwise have</w:t>
      </w:r>
      <w:r w:rsidRPr="009A09FD" w:rsidR="00662B88">
        <w:rPr>
          <w:lang w:val="en-GB" w:eastAsia="zh-CN" w:bidi="ar-AE"/>
        </w:rPr>
        <w:t xml:space="preserve">, and the obligations of each International Underwriter under this Section 11 shall be in addition to any liability which such International Underwriter may otherwise </w:t>
      </w:r>
      <w:r w:rsidR="00850759">
        <w:rPr>
          <w:lang w:val="en-GB" w:eastAsia="zh-CN" w:bidi="ar-AE"/>
        </w:rPr>
        <w:t>have</w:t>
      </w:r>
      <w:r w:rsidRPr="009A09FD" w:rsidR="00F352ED">
        <w:rPr>
          <w:snapToGrid w:val="0"/>
        </w:rPr>
        <w:t>.</w:t>
      </w:r>
      <w:bookmarkEnd w:id="204"/>
    </w:p>
    <w:p w:rsidR="00905145" w:rsidRPr="009A09FD" w:rsidP="00EA70E5" w14:paraId="4409313A" w14:textId="4DCA7E66">
      <w:pPr>
        <w:pStyle w:val="Heading3"/>
        <w:rPr>
          <w:snapToGrid w:val="0"/>
        </w:rPr>
      </w:pPr>
      <w:bookmarkStart w:id="212" w:name="_Ref367265694"/>
      <w:r w:rsidRPr="009A09FD">
        <w:rPr>
          <w:snapToGrid w:val="0"/>
        </w:rPr>
        <w:t xml:space="preserve">The indemnity and contribution agreements contained in this </w:t>
      </w:r>
      <w:bookmarkStart w:id="213" w:name="DocXTextRef142"/>
      <w:r w:rsidRPr="009A09FD">
        <w:rPr>
          <w:snapToGrid w:val="0"/>
        </w:rPr>
        <w:t xml:space="preserve">Section </w:t>
      </w:r>
      <w:bookmarkEnd w:id="213"/>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and the covenants, warranties and representations </w:t>
      </w:r>
      <w:r w:rsidRPr="009A09FD">
        <w:rPr>
          <w:rFonts w:hint="eastAsia"/>
          <w:snapToGrid w:val="0"/>
        </w:rPr>
        <w:t xml:space="preserve">and other statements </w:t>
      </w:r>
      <w:r w:rsidRPr="009A09FD">
        <w:rPr>
          <w:snapToGrid w:val="0"/>
        </w:rPr>
        <w:t xml:space="preserve">of the </w:t>
      </w:r>
      <w:r w:rsidRPr="009A09FD">
        <w:rPr>
          <w:rFonts w:hint="eastAsia"/>
          <w:snapToGrid w:val="0"/>
        </w:rPr>
        <w:t>Warrantors</w:t>
      </w:r>
      <w:r w:rsidRPr="009A09FD">
        <w:rPr>
          <w:snapToGrid w:val="0"/>
        </w:rPr>
        <w:t xml:space="preserve"> contained in, or made by or on behalf of them pursuant to, this Agreement, shall remain in full force and effect, regardless of any investigation (or any statement as to the results thereof) made by or on behalf of any</w:t>
      </w:r>
      <w:r w:rsidRPr="009A09FD" w:rsidR="005440BB">
        <w:rPr>
          <w:snapToGrid w:val="0"/>
        </w:rPr>
        <w:t xml:space="preserve"> Overall Coordinator, </w:t>
      </w:r>
      <w:r w:rsidRPr="009A09FD">
        <w:rPr>
          <w:snapToGrid w:val="0"/>
        </w:rPr>
        <w:t xml:space="preserve">Joint Global Coordinator, </w:t>
      </w:r>
      <w:r w:rsidRPr="009A09FD" w:rsidR="005440BB">
        <w:rPr>
          <w:snapToGrid w:val="0"/>
        </w:rPr>
        <w:t xml:space="preserve">Joint </w:t>
      </w:r>
      <w:r w:rsidRPr="009A09FD">
        <w:rPr>
          <w:snapToGrid w:val="0"/>
        </w:rPr>
        <w:t xml:space="preserve">Sponsor, </w:t>
      </w:r>
      <w:r w:rsidRPr="009A09FD" w:rsidR="00C936F9">
        <w:rPr>
          <w:snapToGrid w:val="0"/>
        </w:rPr>
        <w:t xml:space="preserve">the Sponsor-OC, </w:t>
      </w:r>
      <w:r w:rsidRPr="009A09FD">
        <w:rPr>
          <w:snapToGrid w:val="0"/>
        </w:rPr>
        <w:t xml:space="preserve">Joint Bookrunner, Joint Lead Manager, </w:t>
      </w:r>
      <w:r w:rsidRPr="009A09FD" w:rsidR="005A0F0A">
        <w:rPr>
          <w:snapToGrid w:val="0"/>
        </w:rPr>
        <w:t xml:space="preserve">CMI, </w:t>
      </w:r>
      <w:r w:rsidRPr="009A09FD">
        <w:rPr>
          <w:snapToGrid w:val="0"/>
        </w:rPr>
        <w:t xml:space="preserve">International Underwriter, </w:t>
      </w:r>
      <w:r w:rsidRPr="009A09FD" w:rsidR="00E36BF9">
        <w:rPr>
          <w:snapToGrid w:val="0"/>
        </w:rPr>
        <w:t xml:space="preserve">each of their respective </w:t>
      </w:r>
      <w:r w:rsidRPr="009A09FD">
        <w:rPr>
          <w:snapToGrid w:val="0"/>
        </w:rPr>
        <w:t xml:space="preserve">Affiliates, </w:t>
      </w:r>
      <w:r w:rsidRPr="009A09FD" w:rsidR="00E36BF9">
        <w:rPr>
          <w:snapToGrid w:val="0"/>
        </w:rPr>
        <w:t>as well as their respective h</w:t>
      </w:r>
      <w:r w:rsidRPr="009A09FD" w:rsidR="00032C11">
        <w:rPr>
          <w:snapToGrid w:val="0"/>
        </w:rPr>
        <w:t>ead</w:t>
      </w:r>
      <w:r w:rsidRPr="009A09FD" w:rsidR="00E36BF9">
        <w:rPr>
          <w:snapToGrid w:val="0"/>
        </w:rPr>
        <w:t xml:space="preserve"> offices, branches, </w:t>
      </w:r>
      <w:r w:rsidRPr="009A09FD">
        <w:rPr>
          <w:snapToGrid w:val="0"/>
        </w:rPr>
        <w:t>its representatives</w:t>
      </w:r>
      <w:r w:rsidRPr="009A09FD">
        <w:rPr>
          <w:rFonts w:hint="eastAsia"/>
          <w:snapToGrid w:val="0"/>
        </w:rPr>
        <w:t xml:space="preserve">, </w:t>
      </w:r>
      <w:r w:rsidRPr="009A09FD">
        <w:rPr>
          <w:snapToGrid w:val="0"/>
        </w:rPr>
        <w:t xml:space="preserve">partners, associates, agents, directors, officers, members and employees, any person who controls any such </w:t>
      </w:r>
      <w:r w:rsidRPr="009A09FD" w:rsidR="00D03556">
        <w:rPr>
          <w:snapToGrid w:val="0"/>
        </w:rPr>
        <w:t>Overall Coordinator</w:t>
      </w:r>
      <w:r w:rsidRPr="009A09FD" w:rsidR="00B57DB0">
        <w:rPr>
          <w:snapToGrid w:val="0"/>
        </w:rPr>
        <w:t xml:space="preserve">, </w:t>
      </w:r>
      <w:r w:rsidRPr="009A09FD" w:rsidR="002F3DB2">
        <w:rPr>
          <w:snapToGrid w:val="0"/>
        </w:rPr>
        <w:t xml:space="preserve">Joint Global Coordinator, </w:t>
      </w:r>
      <w:r w:rsidRPr="009A09FD" w:rsidR="00D03556">
        <w:rPr>
          <w:snapToGrid w:val="0"/>
        </w:rPr>
        <w:t xml:space="preserve">Joint </w:t>
      </w:r>
      <w:r w:rsidRPr="009A09FD">
        <w:rPr>
          <w:snapToGrid w:val="0"/>
        </w:rPr>
        <w:t xml:space="preserve">Sponsor, </w:t>
      </w:r>
      <w:r w:rsidRPr="009A09FD" w:rsidR="00C936F9">
        <w:rPr>
          <w:snapToGrid w:val="0"/>
        </w:rPr>
        <w:t xml:space="preserve">Sponsor-OC, </w:t>
      </w:r>
      <w:r w:rsidRPr="009A09FD">
        <w:rPr>
          <w:snapToGrid w:val="0"/>
        </w:rPr>
        <w:t>Joint Bookrunner</w:t>
      </w:r>
      <w:r w:rsidRPr="009A09FD" w:rsidR="00C936F9">
        <w:rPr>
          <w:snapToGrid w:val="0"/>
        </w:rPr>
        <w:t>,</w:t>
      </w:r>
      <w:r w:rsidRPr="009A09FD">
        <w:rPr>
          <w:snapToGrid w:val="0"/>
        </w:rPr>
        <w:t xml:space="preserve"> </w:t>
      </w:r>
      <w:r w:rsidRPr="009A09FD" w:rsidR="00C936F9">
        <w:rPr>
          <w:snapToGrid w:val="0"/>
        </w:rPr>
        <w:t xml:space="preserve">Joint Lead Manager, CMI </w:t>
      </w:r>
      <w:r w:rsidRPr="009A09FD">
        <w:rPr>
          <w:snapToGrid w:val="0"/>
        </w:rPr>
        <w:t xml:space="preserve">or International Underwriter within the meaning of Section 15 of the Securities Act or Section 20 of the Exchange Act, or any successor or assign of any of the foregoing persons, or by or on behalf of the Company, </w:t>
      </w:r>
      <w:r w:rsidRPr="009A09FD" w:rsidR="00662B88">
        <w:rPr>
          <w:snapToGrid w:val="0"/>
        </w:rPr>
        <w:t>the Warranting Shareholders, the</w:t>
      </w:r>
      <w:r w:rsidRPr="009A09FD">
        <w:rPr>
          <w:snapToGrid w:val="0"/>
        </w:rPr>
        <w:t xml:space="preserve"> directors or officers</w:t>
      </w:r>
      <w:r w:rsidRPr="009A09FD" w:rsidR="00662B88">
        <w:rPr>
          <w:snapToGrid w:val="0"/>
        </w:rPr>
        <w:t xml:space="preserve"> of the Company</w:t>
      </w:r>
      <w:r w:rsidRPr="009A09FD">
        <w:rPr>
          <w:snapToGrid w:val="0"/>
        </w:rPr>
        <w:t xml:space="preserve">, and shall survive any termination of this Agreement or the </w:t>
      </w:r>
      <w:r w:rsidRPr="009A09FD" w:rsidR="00032C11">
        <w:rPr>
          <w:snapToGrid w:val="0"/>
        </w:rPr>
        <w:t>issuance and delivery of and payment for the Offer Shares.</w:t>
      </w:r>
    </w:p>
    <w:p w:rsidR="001C5107" w:rsidRPr="009A09FD" w:rsidP="0016249F" w14:paraId="65B660C9" w14:textId="77777777">
      <w:pPr>
        <w:pStyle w:val="Heading1"/>
        <w:jc w:val="left"/>
        <w:rPr>
          <w:snapToGrid w:val="0"/>
        </w:rPr>
      </w:pPr>
      <w:bookmarkStart w:id="214" w:name="_Toc517409043"/>
      <w:bookmarkStart w:id="215" w:name="_Toc72862711"/>
      <w:bookmarkStart w:id="216" w:name="_Ref150627300"/>
      <w:bookmarkStart w:id="217" w:name="_Ref367265695"/>
      <w:bookmarkEnd w:id="212"/>
      <w:r w:rsidRPr="009A09FD">
        <w:rPr>
          <w:snapToGrid w:val="0"/>
        </w:rPr>
        <w:t>Information Furnished by the International Underwriters</w:t>
      </w:r>
      <w:bookmarkEnd w:id="214"/>
      <w:bookmarkEnd w:id="215"/>
      <w:bookmarkEnd w:id="216"/>
    </w:p>
    <w:p w:rsidR="001C5107" w:rsidRPr="009A09FD" w:rsidP="00EA70E5" w14:paraId="20ABDC28" w14:textId="5C80F7BD">
      <w:pPr>
        <w:pStyle w:val="BodyText1"/>
        <w:rPr>
          <w:snapToGrid w:val="0"/>
        </w:rPr>
      </w:pPr>
      <w:r w:rsidRPr="009A09FD">
        <w:rPr>
          <w:snapToGrid w:val="0"/>
        </w:rPr>
        <w:t xml:space="preserve">Each of the </w:t>
      </w:r>
      <w:r w:rsidRPr="009A09FD">
        <w:rPr>
          <w:rFonts w:hint="eastAsia"/>
          <w:snapToGrid w:val="0"/>
        </w:rPr>
        <w:t>Warrantors</w:t>
      </w:r>
      <w:r w:rsidRPr="009A09FD">
        <w:rPr>
          <w:snapToGrid w:val="0"/>
        </w:rPr>
        <w:t xml:space="preserve"> acknowledges and agrees that for the purposes of this Agreement, the only information furnished in writing to the Company by or on behalf of any International Underwriter through the </w:t>
      </w:r>
      <w:r w:rsidRPr="009A09FD" w:rsidR="001C0DE4">
        <w:rPr>
          <w:snapToGrid w:val="0"/>
        </w:rPr>
        <w:t>Overall Coordinators</w:t>
      </w:r>
      <w:r w:rsidRPr="009A09FD">
        <w:rPr>
          <w:snapToGrid w:val="0"/>
        </w:rPr>
        <w:t xml:space="preserve"> </w:t>
      </w:r>
      <w:r w:rsidRPr="009A09FD" w:rsidR="00C936F9">
        <w:rPr>
          <w:snapToGrid w:val="0"/>
        </w:rPr>
        <w:t xml:space="preserve">and the Joint Global Coordinators </w:t>
      </w:r>
      <w:r w:rsidRPr="009A09FD">
        <w:rPr>
          <w:snapToGrid w:val="0"/>
        </w:rPr>
        <w:t>expressly and specifically for use in the Disclosure Package</w:t>
      </w:r>
      <w:r w:rsidRPr="009A09FD" w:rsidR="00F20173">
        <w:rPr>
          <w:snapToGrid w:val="0"/>
        </w:rPr>
        <w:t xml:space="preserve">, </w:t>
      </w:r>
      <w:r w:rsidRPr="009A09FD">
        <w:rPr>
          <w:snapToGrid w:val="0"/>
        </w:rPr>
        <w:t xml:space="preserve">the </w:t>
      </w:r>
      <w:r w:rsidRPr="009A09FD" w:rsidR="005F428E">
        <w:rPr>
          <w:snapToGrid w:val="0"/>
        </w:rPr>
        <w:t>Offering Circular</w:t>
      </w:r>
      <w:r w:rsidRPr="009A09FD" w:rsidR="00F20173">
        <w:rPr>
          <w:snapToGrid w:val="0"/>
        </w:rPr>
        <w:t xml:space="preserve"> or </w:t>
      </w:r>
      <w:r w:rsidRPr="009A09FD" w:rsidR="00F20173">
        <w:rPr>
          <w:rFonts w:eastAsia="PMingLiU"/>
        </w:rPr>
        <w:t>any Supplemental Offering Material</w:t>
      </w:r>
      <w:r w:rsidRPr="009A09FD">
        <w:rPr>
          <w:snapToGrid w:val="0"/>
        </w:rPr>
        <w:t xml:space="preserve"> is the name</w:t>
      </w:r>
      <w:r w:rsidRPr="009A09FD" w:rsidR="00937892">
        <w:rPr>
          <w:snapToGrid w:val="0"/>
        </w:rPr>
        <w:t>s</w:t>
      </w:r>
      <w:r w:rsidRPr="009A09FD" w:rsidR="00F20173">
        <w:rPr>
          <w:snapToGrid w:val="0"/>
        </w:rPr>
        <w:t>, addresses</w:t>
      </w:r>
      <w:r w:rsidRPr="009A09FD" w:rsidR="00937892">
        <w:rPr>
          <w:snapToGrid w:val="0"/>
        </w:rPr>
        <w:t xml:space="preserve"> and logos</w:t>
      </w:r>
      <w:r w:rsidRPr="009A09FD">
        <w:rPr>
          <w:snapToGrid w:val="0"/>
        </w:rPr>
        <w:t xml:space="preserve"> of such International Underwriter appearing </w:t>
      </w:r>
      <w:r w:rsidRPr="009A09FD" w:rsidR="00F20173">
        <w:rPr>
          <w:snapToGrid w:val="0"/>
        </w:rPr>
        <w:t xml:space="preserve">in </w:t>
      </w:r>
      <w:r w:rsidRPr="009A09FD">
        <w:rPr>
          <w:snapToGrid w:val="0"/>
        </w:rPr>
        <w:t xml:space="preserve">the </w:t>
      </w:r>
      <w:r w:rsidRPr="009A09FD" w:rsidR="00F20173">
        <w:rPr>
          <w:snapToGrid w:val="0"/>
        </w:rPr>
        <w:t>Disclosure Package,</w:t>
      </w:r>
      <w:r w:rsidRPr="009A09FD" w:rsidR="00415293">
        <w:rPr>
          <w:snapToGrid w:val="0"/>
        </w:rPr>
        <w:t xml:space="preserve"> </w:t>
      </w:r>
      <w:r w:rsidRPr="009A09FD">
        <w:rPr>
          <w:snapToGrid w:val="0"/>
        </w:rPr>
        <w:t xml:space="preserve">the </w:t>
      </w:r>
      <w:r w:rsidRPr="009A09FD" w:rsidR="005F428E">
        <w:rPr>
          <w:snapToGrid w:val="0"/>
        </w:rPr>
        <w:t>Offering Circular</w:t>
      </w:r>
      <w:r w:rsidRPr="009A09FD">
        <w:rPr>
          <w:snapToGrid w:val="0"/>
        </w:rPr>
        <w:t xml:space="preserve"> </w:t>
      </w:r>
      <w:r w:rsidRPr="009A09FD" w:rsidR="00F20173">
        <w:t xml:space="preserve">and </w:t>
      </w:r>
      <w:r w:rsidRPr="009A09FD" w:rsidR="00F20173">
        <w:rPr>
          <w:rFonts w:eastAsia="PMingLiU"/>
        </w:rPr>
        <w:t>any Supplemental Offering Material</w:t>
      </w:r>
      <w:r w:rsidRPr="009A09FD" w:rsidR="00F20173">
        <w:rPr>
          <w:snapToGrid w:val="0"/>
        </w:rPr>
        <w:t xml:space="preserve"> </w:t>
      </w:r>
      <w:r w:rsidRPr="009A09FD">
        <w:rPr>
          <w:snapToGrid w:val="0"/>
        </w:rPr>
        <w:t>(the “</w:t>
      </w:r>
      <w:r w:rsidRPr="009A09FD">
        <w:rPr>
          <w:b/>
          <w:snapToGrid w:val="0"/>
        </w:rPr>
        <w:t>International Underwriter Information</w:t>
      </w:r>
      <w:r w:rsidRPr="009A09FD">
        <w:rPr>
          <w:snapToGrid w:val="0"/>
        </w:rPr>
        <w:t>”).</w:t>
      </w:r>
      <w:bookmarkEnd w:id="217"/>
    </w:p>
    <w:p w:rsidR="001C5107" w:rsidRPr="009A09FD" w:rsidP="00EA70E5" w14:paraId="7C29BBE6" w14:textId="77777777">
      <w:pPr>
        <w:pStyle w:val="Heading1"/>
        <w:rPr>
          <w:snapToGrid w:val="0"/>
        </w:rPr>
      </w:pPr>
      <w:bookmarkStart w:id="218" w:name="_Toc517409044"/>
      <w:bookmarkStart w:id="219" w:name="_Toc72862712"/>
      <w:bookmarkStart w:id="220" w:name="_Ref367265696"/>
      <w:r w:rsidRPr="009A09FD">
        <w:rPr>
          <w:snapToGrid w:val="0"/>
        </w:rPr>
        <w:t>Notices</w:t>
      </w:r>
      <w:bookmarkEnd w:id="218"/>
      <w:bookmarkEnd w:id="219"/>
    </w:p>
    <w:p w:rsidR="001C5107" w:rsidRPr="009A09FD" w:rsidP="00EA70E5" w14:paraId="681A70CC" w14:textId="402F4369">
      <w:pPr>
        <w:pStyle w:val="BodyText1"/>
        <w:rPr>
          <w:snapToGrid w:val="0"/>
        </w:rPr>
      </w:pPr>
      <w:r w:rsidRPr="009A09FD">
        <w:rPr>
          <w:snapToGrid w:val="0"/>
        </w:rPr>
        <w:t xml:space="preserve">In all dealings hereunder, the </w:t>
      </w:r>
      <w:r w:rsidRPr="009A09FD" w:rsidR="00FB73B3">
        <w:rPr>
          <w:snapToGrid w:val="0"/>
        </w:rPr>
        <w:t xml:space="preserve">Overall Coordinators </w:t>
      </w:r>
      <w:r w:rsidRPr="009A09FD" w:rsidR="00C936F9">
        <w:rPr>
          <w:snapToGrid w:val="0"/>
        </w:rPr>
        <w:t xml:space="preserve">and the Joint Global Coordinators </w:t>
      </w:r>
      <w:r w:rsidRPr="009A09FD">
        <w:rPr>
          <w:snapToGrid w:val="0"/>
        </w:rPr>
        <w:t xml:space="preserve">shall act on behalf of each of the International Underwriters, and the parties hereto shall be entitled to act and rely upon any statement, request, notice or agreement on behalf of any International Underwriter made or given by the </w:t>
      </w:r>
      <w:r w:rsidRPr="009A09FD" w:rsidR="00177495">
        <w:rPr>
          <w:snapToGrid w:val="0"/>
        </w:rPr>
        <w:t>Overall Coordinators</w:t>
      </w:r>
      <w:r w:rsidRPr="009A09FD" w:rsidR="00C936F9">
        <w:rPr>
          <w:snapToGrid w:val="0"/>
        </w:rPr>
        <w:t xml:space="preserve"> and the Joint Global Coordinators</w:t>
      </w:r>
      <w:r w:rsidRPr="009A09FD">
        <w:rPr>
          <w:snapToGrid w:val="0"/>
        </w:rPr>
        <w:t>.</w:t>
      </w:r>
      <w:bookmarkEnd w:id="220"/>
    </w:p>
    <w:p w:rsidR="001C5107" w:rsidRPr="009A09FD" w:rsidP="00EA70E5" w14:paraId="596620E4" w14:textId="77777777">
      <w:pPr>
        <w:pStyle w:val="BodyText1"/>
        <w:rPr>
          <w:snapToGrid w:val="0"/>
        </w:rPr>
      </w:pPr>
      <w:r w:rsidRPr="009A09FD">
        <w:rPr>
          <w:snapToGrid w:val="0"/>
        </w:rPr>
        <w:t>Except as otherwise herein provided, all statements, requests, notices and agreements hereunder shall be in writing and delivered or sent by mail or facsimile,</w:t>
      </w:r>
    </w:p>
    <w:p w:rsidR="001C5107" w:rsidRPr="009A09FD" w:rsidP="00EA70E5" w14:paraId="3E08C26A" w14:textId="3A635748">
      <w:pPr>
        <w:pStyle w:val="Heading3"/>
        <w:rPr>
          <w:snapToGrid w:val="0"/>
        </w:rPr>
      </w:pPr>
      <w:bookmarkStart w:id="221" w:name="_Ref367265697"/>
      <w:r w:rsidRPr="009A09FD">
        <w:rPr>
          <w:snapToGrid w:val="0"/>
        </w:rPr>
        <w:t xml:space="preserve">if to the </w:t>
      </w:r>
      <w:r w:rsidRPr="009A09FD" w:rsidR="00F540B4">
        <w:rPr>
          <w:snapToGrid w:val="0"/>
        </w:rPr>
        <w:t xml:space="preserve">Overall Coordinators </w:t>
      </w:r>
      <w:r w:rsidRPr="009A09FD" w:rsidR="00502756">
        <w:rPr>
          <w:snapToGrid w:val="0"/>
        </w:rPr>
        <w:t xml:space="preserve">or </w:t>
      </w:r>
      <w:r w:rsidRPr="009A09FD">
        <w:rPr>
          <w:snapToGrid w:val="0"/>
        </w:rPr>
        <w:t>International Underwriters, shall be sufficient in all respects if delivered or sent to:</w:t>
      </w:r>
      <w:bookmarkEnd w:id="221"/>
    </w:p>
    <w:tbl>
      <w:tblPr>
        <w:tblW w:w="4325" w:type="pct"/>
        <w:tblInd w:w="1325" w:type="dxa"/>
        <w:tblLayout w:type="fixed"/>
        <w:tblLook w:val="04A0"/>
      </w:tblPr>
      <w:tblGrid>
        <w:gridCol w:w="3715"/>
        <w:gridCol w:w="4092"/>
      </w:tblGrid>
      <w:tr w14:paraId="49D45D59" w14:textId="77777777" w:rsidTr="00DC5454">
        <w:tblPrEx>
          <w:tblW w:w="4325" w:type="pct"/>
          <w:tblInd w:w="1325" w:type="dxa"/>
          <w:tblLayout w:type="fixed"/>
          <w:tblLook w:val="04A0"/>
        </w:tblPrEx>
        <w:tc>
          <w:tcPr>
            <w:tcW w:w="3715" w:type="dxa"/>
          </w:tcPr>
          <w:p w:rsidR="00282ED0" w:rsidRPr="009A09FD" w:rsidP="00CB4F56" w14:paraId="39D471DA" w14:textId="11F40CC1">
            <w:pPr>
              <w:pStyle w:val="BodyText0Singleline"/>
              <w:rPr>
                <w:snapToGrid w:val="0"/>
                <w:lang w:eastAsia="zh-CN"/>
              </w:rPr>
            </w:pPr>
            <w:r w:rsidRPr="009A09FD">
              <w:rPr>
                <w:snapToGrid w:val="0"/>
              </w:rPr>
              <w:t xml:space="preserve">If to </w:t>
            </w:r>
            <w:r w:rsidRPr="009A09FD" w:rsidR="00DA7422">
              <w:rPr>
                <w:b/>
                <w:bCs/>
                <w:snapToGrid w:val="0"/>
              </w:rPr>
              <w:t>[</w:t>
            </w:r>
            <w:r w:rsidRPr="009A09FD" w:rsidR="00265E03">
              <w:rPr>
                <w:b/>
                <w:bCs/>
                <w:snapToGrid w:val="0"/>
              </w:rPr>
              <w:t>I</w:t>
            </w:r>
            <w:r w:rsidRPr="009A09FD" w:rsidR="00DA7422">
              <w:rPr>
                <w:b/>
                <w:bCs/>
                <w:snapToGrid w:val="0"/>
              </w:rPr>
              <w:t>nsert the names of the sponsors and overall coordinator signing parties]</w:t>
            </w:r>
            <w:r w:rsidRPr="009A09FD">
              <w:rPr>
                <w:snapToGrid w:val="0"/>
              </w:rPr>
              <w:t xml:space="preserve">, to: </w:t>
            </w:r>
          </w:p>
        </w:tc>
        <w:tc>
          <w:tcPr>
            <w:tcW w:w="4092" w:type="dxa"/>
          </w:tcPr>
          <w:p w:rsidR="00282ED0" w:rsidRPr="009A09FD" w:rsidP="00CB4F56" w14:paraId="26208D2A" w14:textId="77777777">
            <w:pPr>
              <w:pStyle w:val="BodyText0Singleline"/>
              <w:rPr>
                <w:snapToGrid w:val="0"/>
                <w:lang w:eastAsia="zh-CN"/>
              </w:rPr>
            </w:pPr>
          </w:p>
        </w:tc>
      </w:tr>
      <w:tr w14:paraId="4A767823" w14:textId="77777777" w:rsidTr="00DC5454">
        <w:tblPrEx>
          <w:tblW w:w="4325" w:type="pct"/>
          <w:tblInd w:w="1325" w:type="dxa"/>
          <w:tblLayout w:type="fixed"/>
          <w:tblLook w:val="04A0"/>
        </w:tblPrEx>
        <w:tc>
          <w:tcPr>
            <w:tcW w:w="3715" w:type="dxa"/>
          </w:tcPr>
          <w:p w:rsidR="00282ED0" w:rsidRPr="009A09FD" w:rsidP="00CB4F56" w14:paraId="730DF80B" w14:textId="77777777">
            <w:pPr>
              <w:pStyle w:val="BodyText0Singleline"/>
              <w:rPr>
                <w:snapToGrid w:val="0"/>
                <w:lang w:eastAsia="zh-CN"/>
              </w:rPr>
            </w:pPr>
            <w:r w:rsidRPr="009A09FD">
              <w:rPr>
                <w:snapToGrid w:val="0"/>
              </w:rPr>
              <w:t xml:space="preserve">Address: </w:t>
            </w:r>
          </w:p>
        </w:tc>
        <w:tc>
          <w:tcPr>
            <w:tcW w:w="4092" w:type="dxa"/>
          </w:tcPr>
          <w:p w:rsidR="00282ED0" w:rsidRPr="009A09FD" w:rsidP="00CB4F56" w14:paraId="79F1C098" w14:textId="6357FEDE">
            <w:pPr>
              <w:pStyle w:val="BodyText0Singleline"/>
              <w:rPr>
                <w:b/>
                <w:snapToGrid w:val="0"/>
                <w:lang w:eastAsia="zh-CN"/>
              </w:rPr>
            </w:pPr>
            <w:r w:rsidRPr="009A09FD">
              <w:rPr>
                <w:b/>
                <w:snapToGrid w:val="0"/>
              </w:rPr>
              <w:t>[</w:t>
            </w:r>
            <w:r w:rsidRPr="009A09FD" w:rsidR="00265E03">
              <w:rPr>
                <w:b/>
                <w:snapToGrid w:val="0"/>
              </w:rPr>
              <w:t>I</w:t>
            </w:r>
            <w:r w:rsidRPr="009A09FD">
              <w:rPr>
                <w:b/>
                <w:snapToGrid w:val="0"/>
              </w:rPr>
              <w:t>nsert address]</w:t>
            </w:r>
          </w:p>
        </w:tc>
      </w:tr>
      <w:tr w14:paraId="5FC4C13C" w14:textId="77777777" w:rsidTr="00DC5454">
        <w:tblPrEx>
          <w:tblW w:w="4325" w:type="pct"/>
          <w:tblInd w:w="1325" w:type="dxa"/>
          <w:tblLayout w:type="fixed"/>
          <w:tblLook w:val="04A0"/>
        </w:tblPrEx>
        <w:tc>
          <w:tcPr>
            <w:tcW w:w="3715" w:type="dxa"/>
          </w:tcPr>
          <w:p w:rsidR="00282ED0" w:rsidRPr="009A09FD" w:rsidP="00CB4F56" w14:paraId="3DEBA65D" w14:textId="77777777">
            <w:pPr>
              <w:pStyle w:val="BodyText0Singleline"/>
              <w:rPr>
                <w:snapToGrid w:val="0"/>
                <w:lang w:eastAsia="zh-CN"/>
              </w:rPr>
            </w:pPr>
            <w:r w:rsidRPr="009A09FD">
              <w:rPr>
                <w:snapToGrid w:val="0"/>
                <w:lang w:eastAsia="zh-CN"/>
              </w:rPr>
              <w:t>Fax:</w:t>
            </w:r>
          </w:p>
        </w:tc>
        <w:tc>
          <w:tcPr>
            <w:tcW w:w="4092" w:type="dxa"/>
          </w:tcPr>
          <w:p w:rsidR="00282ED0" w:rsidRPr="009A09FD" w:rsidP="00CB4F56" w14:paraId="145A1AD9" w14:textId="4D1613E4">
            <w:pPr>
              <w:pStyle w:val="BodyText0Singleline"/>
              <w:rPr>
                <w:b/>
                <w:snapToGrid w:val="0"/>
                <w:lang w:eastAsia="zh-CN"/>
              </w:rPr>
            </w:pPr>
            <w:r w:rsidRPr="009A09FD">
              <w:rPr>
                <w:b/>
                <w:snapToGrid w:val="0"/>
              </w:rPr>
              <w:t>[</w:t>
            </w:r>
            <w:r w:rsidRPr="009A09FD" w:rsidR="00265E03">
              <w:rPr>
                <w:b/>
                <w:snapToGrid w:val="0"/>
              </w:rPr>
              <w:t>I</w:t>
            </w:r>
            <w:r w:rsidRPr="009A09FD">
              <w:rPr>
                <w:b/>
                <w:snapToGrid w:val="0"/>
              </w:rPr>
              <w:t>nsert fax]</w:t>
            </w:r>
          </w:p>
        </w:tc>
      </w:tr>
      <w:tr w14:paraId="5E672530" w14:textId="77777777" w:rsidTr="00DC5454">
        <w:tblPrEx>
          <w:tblW w:w="4325" w:type="pct"/>
          <w:tblInd w:w="1325" w:type="dxa"/>
          <w:tblLayout w:type="fixed"/>
          <w:tblLook w:val="04A0"/>
        </w:tblPrEx>
        <w:tc>
          <w:tcPr>
            <w:tcW w:w="3715" w:type="dxa"/>
          </w:tcPr>
          <w:p w:rsidR="00282ED0" w:rsidRPr="009A09FD" w:rsidP="00CB4F56" w14:paraId="1A3602CD" w14:textId="77777777">
            <w:pPr>
              <w:pStyle w:val="BodyText0Singleline"/>
              <w:rPr>
                <w:snapToGrid w:val="0"/>
                <w:lang w:eastAsia="zh-CN"/>
              </w:rPr>
            </w:pPr>
            <w:r w:rsidRPr="009A09FD">
              <w:rPr>
                <w:snapToGrid w:val="0"/>
                <w:lang w:eastAsia="zh-CN"/>
              </w:rPr>
              <w:t>Email:</w:t>
            </w:r>
          </w:p>
        </w:tc>
        <w:tc>
          <w:tcPr>
            <w:tcW w:w="4092" w:type="dxa"/>
          </w:tcPr>
          <w:p w:rsidR="00282ED0" w:rsidRPr="009A09FD" w:rsidP="00CB4F56" w14:paraId="25162A72" w14:textId="755CCEB9">
            <w:pPr>
              <w:pStyle w:val="BodyText0Singleline"/>
              <w:rPr>
                <w:b/>
                <w:snapToGrid w:val="0"/>
                <w:lang w:eastAsia="zh-CN"/>
              </w:rPr>
            </w:pPr>
            <w:r w:rsidRPr="009A09FD">
              <w:rPr>
                <w:b/>
                <w:snapToGrid w:val="0"/>
              </w:rPr>
              <w:t>[</w:t>
            </w:r>
            <w:r w:rsidRPr="009A09FD" w:rsidR="00265E03">
              <w:rPr>
                <w:b/>
                <w:snapToGrid w:val="0"/>
              </w:rPr>
              <w:t>I</w:t>
            </w:r>
            <w:r w:rsidRPr="009A09FD">
              <w:rPr>
                <w:b/>
                <w:snapToGrid w:val="0"/>
              </w:rPr>
              <w:t>nsert email]</w:t>
            </w:r>
          </w:p>
        </w:tc>
      </w:tr>
      <w:tr w14:paraId="5E408939" w14:textId="77777777" w:rsidTr="00DC5454">
        <w:tblPrEx>
          <w:tblW w:w="4325" w:type="pct"/>
          <w:tblInd w:w="1325" w:type="dxa"/>
          <w:tblLayout w:type="fixed"/>
          <w:tblLook w:val="04A0"/>
        </w:tblPrEx>
        <w:tc>
          <w:tcPr>
            <w:tcW w:w="3715" w:type="dxa"/>
          </w:tcPr>
          <w:p w:rsidR="00282ED0" w:rsidRPr="009A09FD" w:rsidP="00EA70E5" w14:paraId="360A911C" w14:textId="77777777">
            <w:pPr>
              <w:pStyle w:val="BodyText0"/>
              <w:rPr>
                <w:snapToGrid w:val="0"/>
                <w:lang w:eastAsia="zh-CN"/>
              </w:rPr>
            </w:pPr>
            <w:r w:rsidRPr="009A09FD">
              <w:rPr>
                <w:snapToGrid w:val="0"/>
              </w:rPr>
              <w:t xml:space="preserve">Attention: </w:t>
            </w:r>
          </w:p>
        </w:tc>
        <w:tc>
          <w:tcPr>
            <w:tcW w:w="4092" w:type="dxa"/>
          </w:tcPr>
          <w:p w:rsidR="006D7512" w:rsidRPr="009A09FD" w:rsidP="00EA70E5" w14:paraId="4E6D9D83" w14:textId="70CD4EB4">
            <w:pPr>
              <w:pStyle w:val="BodyText0"/>
              <w:rPr>
                <w:b/>
                <w:snapToGrid w:val="0"/>
                <w:lang w:eastAsia="zh-CN"/>
              </w:rPr>
            </w:pPr>
            <w:r w:rsidRPr="009A09FD">
              <w:rPr>
                <w:b/>
                <w:snapToGrid w:val="0"/>
              </w:rPr>
              <w:t>[</w:t>
            </w:r>
            <w:r w:rsidRPr="009A09FD" w:rsidR="00265E03">
              <w:rPr>
                <w:b/>
                <w:snapToGrid w:val="0"/>
              </w:rPr>
              <w:t>I</w:t>
            </w:r>
            <w:r w:rsidRPr="009A09FD">
              <w:rPr>
                <w:b/>
                <w:snapToGrid w:val="0"/>
              </w:rPr>
              <w:t>nsert name]</w:t>
            </w:r>
          </w:p>
        </w:tc>
      </w:tr>
    </w:tbl>
    <w:p w:rsidR="001C5107" w:rsidRPr="009A09FD" w:rsidP="00CB4F56" w14:paraId="1443AAFD" w14:textId="53768DAD">
      <w:pPr>
        <w:pStyle w:val="Heading3"/>
        <w:rPr>
          <w:snapToGrid w:val="0"/>
        </w:rPr>
      </w:pPr>
      <w:r w:rsidRPr="009A09FD">
        <w:rPr>
          <w:snapToGrid w:val="0"/>
        </w:rPr>
        <w:t xml:space="preserve">if to the Company, shall be sufficient in all respects if delivered or sent to the Company at </w:t>
      </w:r>
      <w:r w:rsidRPr="009A09FD" w:rsidR="00DA7422">
        <w:rPr>
          <w:b/>
          <w:snapToGrid w:val="0"/>
        </w:rPr>
        <w:t>[</w:t>
      </w:r>
      <w:r w:rsidRPr="009A09FD" w:rsidR="00265E03">
        <w:rPr>
          <w:b/>
          <w:snapToGrid w:val="0"/>
        </w:rPr>
        <w:t>I</w:t>
      </w:r>
      <w:r w:rsidRPr="009A09FD" w:rsidR="00DA7422">
        <w:rPr>
          <w:b/>
          <w:snapToGrid w:val="0"/>
        </w:rPr>
        <w:t>nsert address]</w:t>
      </w:r>
      <w:r w:rsidRPr="009A09FD">
        <w:rPr>
          <w:snapToGrid w:val="0"/>
        </w:rPr>
        <w:t xml:space="preserve">, attention: </w:t>
      </w:r>
      <w:r w:rsidRPr="009A09FD" w:rsidR="00DA7422">
        <w:rPr>
          <w:b/>
          <w:snapToGrid w:val="0"/>
        </w:rPr>
        <w:t>[</w:t>
      </w:r>
      <w:r w:rsidRPr="009A09FD" w:rsidR="00265E03">
        <w:rPr>
          <w:b/>
          <w:snapToGrid w:val="0"/>
        </w:rPr>
        <w:t>I</w:t>
      </w:r>
      <w:r w:rsidRPr="009A09FD" w:rsidR="00DA7422">
        <w:rPr>
          <w:b/>
          <w:snapToGrid w:val="0"/>
        </w:rPr>
        <w:t>nsert name]</w:t>
      </w:r>
      <w:r w:rsidRPr="009A09FD">
        <w:rPr>
          <w:snapToGrid w:val="0"/>
        </w:rPr>
        <w:t xml:space="preserve">, </w:t>
      </w:r>
      <w:r w:rsidRPr="009A09FD" w:rsidR="00F72E75">
        <w:rPr>
          <w:snapToGrid w:val="0"/>
        </w:rPr>
        <w:t xml:space="preserve">email: </w:t>
      </w:r>
      <w:r w:rsidRPr="009A09FD" w:rsidR="00DA7422">
        <w:rPr>
          <w:b/>
          <w:snapToGrid w:val="0"/>
        </w:rPr>
        <w:t>[</w:t>
      </w:r>
      <w:r w:rsidRPr="009A09FD" w:rsidR="00265E03">
        <w:rPr>
          <w:b/>
          <w:snapToGrid w:val="0"/>
        </w:rPr>
        <w:t>I</w:t>
      </w:r>
      <w:r w:rsidRPr="009A09FD" w:rsidR="00DA7422">
        <w:rPr>
          <w:b/>
          <w:snapToGrid w:val="0"/>
        </w:rPr>
        <w:t>nsert email]</w:t>
      </w:r>
      <w:r w:rsidRPr="009A09FD" w:rsidR="00C12277">
        <w:rPr>
          <w:snapToGrid w:val="0"/>
        </w:rPr>
        <w:t>.</w:t>
      </w:r>
    </w:p>
    <w:p w:rsidR="0052601B" w:rsidRPr="009A09FD" w:rsidP="00CB4F56" w14:paraId="7ED93200" w14:textId="4EBCB3C7">
      <w:pPr>
        <w:pStyle w:val="Heading3"/>
        <w:rPr>
          <w:snapToGrid w:val="0"/>
        </w:rPr>
      </w:pPr>
      <w:r w:rsidRPr="009A09FD">
        <w:rPr>
          <w:snapToGrid w:val="0"/>
        </w:rPr>
        <w:t xml:space="preserve">if to the </w:t>
      </w:r>
      <w:r w:rsidRPr="009A09FD" w:rsidR="00C12277">
        <w:rPr>
          <w:snapToGrid w:val="0"/>
        </w:rPr>
        <w:t>Warranting Shareholders</w:t>
      </w:r>
      <w:r w:rsidRPr="009A09FD">
        <w:rPr>
          <w:snapToGrid w:val="0"/>
        </w:rPr>
        <w:t>, shall be sufficient in all respects if delivered or sent to</w:t>
      </w:r>
    </w:p>
    <w:tbl>
      <w:tblPr>
        <w:tblW w:w="4325" w:type="pct"/>
        <w:tblInd w:w="1325" w:type="dxa"/>
        <w:tblLayout w:type="fixed"/>
        <w:tblLook w:val="04A0"/>
      </w:tblPr>
      <w:tblGrid>
        <w:gridCol w:w="3715"/>
        <w:gridCol w:w="4092"/>
      </w:tblGrid>
      <w:tr w14:paraId="6C21ECD7" w14:textId="77777777" w:rsidTr="00DC5454">
        <w:tblPrEx>
          <w:tblW w:w="4325" w:type="pct"/>
          <w:tblInd w:w="1325" w:type="dxa"/>
          <w:tblLayout w:type="fixed"/>
          <w:tblLook w:val="04A0"/>
        </w:tblPrEx>
        <w:tc>
          <w:tcPr>
            <w:tcW w:w="3715" w:type="dxa"/>
          </w:tcPr>
          <w:p w:rsidR="0052601B" w:rsidRPr="009A09FD" w:rsidP="00DC5454" w14:paraId="79BBC832" w14:textId="632FBD9B">
            <w:pPr>
              <w:pStyle w:val="BodyText0Singleline"/>
              <w:rPr>
                <w:snapToGrid w:val="0"/>
                <w:lang w:eastAsia="zh-CN"/>
              </w:rPr>
            </w:pPr>
            <w:r w:rsidRPr="009A09FD">
              <w:rPr>
                <w:snapToGrid w:val="0"/>
                <w:lang w:eastAsia="zh-CN"/>
              </w:rPr>
              <w:t xml:space="preserve">If to </w:t>
            </w:r>
            <w:r w:rsidRPr="009A09FD" w:rsidR="00DA7422">
              <w:rPr>
                <w:b/>
                <w:bCs/>
                <w:snapToGrid w:val="0"/>
              </w:rPr>
              <w:t>[</w:t>
            </w:r>
            <w:r w:rsidRPr="009A09FD" w:rsidR="00265E03">
              <w:rPr>
                <w:b/>
                <w:bCs/>
                <w:snapToGrid w:val="0"/>
              </w:rPr>
              <w:t>I</w:t>
            </w:r>
            <w:r w:rsidRPr="009A09FD" w:rsidR="00DA7422">
              <w:rPr>
                <w:b/>
                <w:bCs/>
                <w:snapToGrid w:val="0"/>
              </w:rPr>
              <w:t xml:space="preserve">nsert the names of the </w:t>
            </w:r>
            <w:r w:rsidRPr="009A09FD" w:rsidR="00684871">
              <w:rPr>
                <w:b/>
                <w:bCs/>
                <w:snapToGrid w:val="0"/>
              </w:rPr>
              <w:t>Warranting</w:t>
            </w:r>
            <w:r w:rsidRPr="009A09FD" w:rsidR="00DA7422">
              <w:rPr>
                <w:b/>
                <w:bCs/>
                <w:snapToGrid w:val="0"/>
              </w:rPr>
              <w:t xml:space="preserve"> </w:t>
            </w:r>
            <w:r w:rsidRPr="009A09FD" w:rsidR="00684871">
              <w:rPr>
                <w:b/>
                <w:bCs/>
                <w:snapToGrid w:val="0"/>
              </w:rPr>
              <w:t>S</w:t>
            </w:r>
            <w:r w:rsidRPr="009A09FD" w:rsidR="00DA7422">
              <w:rPr>
                <w:b/>
                <w:bCs/>
                <w:snapToGrid w:val="0"/>
              </w:rPr>
              <w:t>hareholders]</w:t>
            </w:r>
            <w:r w:rsidRPr="009A09FD">
              <w:rPr>
                <w:snapToGrid w:val="0"/>
                <w:lang w:eastAsia="zh-CN"/>
              </w:rPr>
              <w:t>:</w:t>
            </w:r>
          </w:p>
        </w:tc>
        <w:tc>
          <w:tcPr>
            <w:tcW w:w="4092" w:type="dxa"/>
          </w:tcPr>
          <w:p w:rsidR="0052601B" w:rsidRPr="009A09FD" w:rsidP="00DC5454" w14:paraId="33FC2B9D" w14:textId="77777777">
            <w:pPr>
              <w:pStyle w:val="BodyText0Singleline"/>
              <w:rPr>
                <w:snapToGrid w:val="0"/>
                <w:lang w:eastAsia="zh-CN"/>
              </w:rPr>
            </w:pPr>
          </w:p>
        </w:tc>
      </w:tr>
      <w:tr w14:paraId="22A6A78D" w14:textId="77777777" w:rsidTr="00DC5454">
        <w:tblPrEx>
          <w:tblW w:w="4325" w:type="pct"/>
          <w:tblInd w:w="1325" w:type="dxa"/>
          <w:tblLayout w:type="fixed"/>
          <w:tblLook w:val="04A0"/>
        </w:tblPrEx>
        <w:tc>
          <w:tcPr>
            <w:tcW w:w="3715" w:type="dxa"/>
          </w:tcPr>
          <w:p w:rsidR="00DA7422" w:rsidRPr="009A09FD" w:rsidP="00DA7422" w14:paraId="6C87E6E5" w14:textId="77777777">
            <w:pPr>
              <w:pStyle w:val="BodyText0Singleline"/>
              <w:rPr>
                <w:snapToGrid w:val="0"/>
                <w:lang w:eastAsia="zh-CN"/>
              </w:rPr>
            </w:pPr>
            <w:r w:rsidRPr="009A09FD">
              <w:rPr>
                <w:snapToGrid w:val="0"/>
                <w:lang w:eastAsia="zh-CN"/>
              </w:rPr>
              <w:t>Address:</w:t>
            </w:r>
          </w:p>
        </w:tc>
        <w:tc>
          <w:tcPr>
            <w:tcW w:w="4092" w:type="dxa"/>
          </w:tcPr>
          <w:p w:rsidR="00DA7422" w:rsidRPr="009A09FD" w:rsidP="00DA7422" w14:paraId="34B1C385" w14:textId="29006D35">
            <w:pPr>
              <w:pStyle w:val="BodyText0Singleline"/>
              <w:rPr>
                <w:b/>
                <w:snapToGrid w:val="0"/>
                <w:lang w:eastAsia="zh-CN"/>
              </w:rPr>
            </w:pPr>
            <w:r w:rsidRPr="009A09FD">
              <w:rPr>
                <w:b/>
                <w:snapToGrid w:val="0"/>
              </w:rPr>
              <w:t>[</w:t>
            </w:r>
            <w:r w:rsidRPr="009A09FD" w:rsidR="00265E03">
              <w:rPr>
                <w:b/>
                <w:snapToGrid w:val="0"/>
              </w:rPr>
              <w:t xml:space="preserve">Insert </w:t>
            </w:r>
            <w:r w:rsidRPr="009A09FD">
              <w:rPr>
                <w:b/>
                <w:snapToGrid w:val="0"/>
              </w:rPr>
              <w:t>address]</w:t>
            </w:r>
          </w:p>
        </w:tc>
      </w:tr>
      <w:tr w14:paraId="2F20AE2B" w14:textId="77777777" w:rsidTr="00DC5454">
        <w:tblPrEx>
          <w:tblW w:w="4325" w:type="pct"/>
          <w:tblInd w:w="1325" w:type="dxa"/>
          <w:tblLayout w:type="fixed"/>
          <w:tblLook w:val="04A0"/>
        </w:tblPrEx>
        <w:tc>
          <w:tcPr>
            <w:tcW w:w="3715" w:type="dxa"/>
          </w:tcPr>
          <w:p w:rsidR="00DA7422" w:rsidRPr="009A09FD" w:rsidP="00DA7422" w14:paraId="6E7684B7" w14:textId="77777777">
            <w:pPr>
              <w:pStyle w:val="BodyText0Singleline"/>
              <w:rPr>
                <w:snapToGrid w:val="0"/>
                <w:lang w:eastAsia="zh-CN"/>
              </w:rPr>
            </w:pPr>
            <w:r w:rsidRPr="009A09FD">
              <w:rPr>
                <w:snapToGrid w:val="0"/>
                <w:lang w:eastAsia="zh-CN"/>
              </w:rPr>
              <w:t>Fax:</w:t>
            </w:r>
          </w:p>
        </w:tc>
        <w:tc>
          <w:tcPr>
            <w:tcW w:w="4092" w:type="dxa"/>
          </w:tcPr>
          <w:p w:rsidR="00DA7422" w:rsidRPr="009A09FD" w:rsidP="00DA7422" w14:paraId="53CE5F09" w14:textId="5CD69B28">
            <w:pPr>
              <w:pStyle w:val="BodyText0Singleline"/>
              <w:rPr>
                <w:b/>
                <w:snapToGrid w:val="0"/>
                <w:lang w:eastAsia="zh-CN"/>
              </w:rPr>
            </w:pPr>
            <w:r w:rsidRPr="009A09FD">
              <w:rPr>
                <w:b/>
                <w:snapToGrid w:val="0"/>
              </w:rPr>
              <w:t>[</w:t>
            </w:r>
            <w:r w:rsidRPr="009A09FD" w:rsidR="00265E03">
              <w:rPr>
                <w:b/>
                <w:snapToGrid w:val="0"/>
              </w:rPr>
              <w:t xml:space="preserve">Insert </w:t>
            </w:r>
            <w:r w:rsidRPr="009A09FD">
              <w:rPr>
                <w:b/>
                <w:snapToGrid w:val="0"/>
              </w:rPr>
              <w:t>fax]</w:t>
            </w:r>
          </w:p>
        </w:tc>
      </w:tr>
      <w:tr w14:paraId="5B9174A7" w14:textId="77777777" w:rsidTr="00DC5454">
        <w:tblPrEx>
          <w:tblW w:w="4325" w:type="pct"/>
          <w:tblInd w:w="1325" w:type="dxa"/>
          <w:tblLayout w:type="fixed"/>
          <w:tblLook w:val="04A0"/>
        </w:tblPrEx>
        <w:tc>
          <w:tcPr>
            <w:tcW w:w="3715" w:type="dxa"/>
          </w:tcPr>
          <w:p w:rsidR="00DA7422" w:rsidRPr="009A09FD" w:rsidP="00DA7422" w14:paraId="13C66F8E" w14:textId="77777777">
            <w:pPr>
              <w:pStyle w:val="BodyText0Singleline"/>
              <w:rPr>
                <w:snapToGrid w:val="0"/>
                <w:lang w:eastAsia="zh-CN"/>
              </w:rPr>
            </w:pPr>
            <w:r w:rsidRPr="009A09FD">
              <w:rPr>
                <w:snapToGrid w:val="0"/>
                <w:lang w:eastAsia="zh-CN"/>
              </w:rPr>
              <w:t>Email:</w:t>
            </w:r>
          </w:p>
        </w:tc>
        <w:tc>
          <w:tcPr>
            <w:tcW w:w="4092" w:type="dxa"/>
          </w:tcPr>
          <w:p w:rsidR="00DA7422" w:rsidRPr="009A09FD" w:rsidP="00DA7422" w14:paraId="3EB25C73" w14:textId="38AFC524">
            <w:pPr>
              <w:pStyle w:val="BodyText0Singleline"/>
              <w:rPr>
                <w:b/>
                <w:snapToGrid w:val="0"/>
                <w:lang w:eastAsia="zh-CN"/>
              </w:rPr>
            </w:pPr>
            <w:r w:rsidRPr="009A09FD">
              <w:rPr>
                <w:b/>
                <w:snapToGrid w:val="0"/>
              </w:rPr>
              <w:t>[</w:t>
            </w:r>
            <w:r w:rsidRPr="009A09FD" w:rsidR="00265E03">
              <w:rPr>
                <w:b/>
                <w:snapToGrid w:val="0"/>
              </w:rPr>
              <w:t xml:space="preserve">Insert </w:t>
            </w:r>
            <w:r w:rsidRPr="009A09FD">
              <w:rPr>
                <w:b/>
                <w:snapToGrid w:val="0"/>
              </w:rPr>
              <w:t>email]</w:t>
            </w:r>
          </w:p>
        </w:tc>
      </w:tr>
      <w:tr w14:paraId="4FF0009B" w14:textId="77777777" w:rsidTr="00DC5454">
        <w:tblPrEx>
          <w:tblW w:w="4325" w:type="pct"/>
          <w:tblInd w:w="1325" w:type="dxa"/>
          <w:tblLayout w:type="fixed"/>
          <w:tblLook w:val="04A0"/>
        </w:tblPrEx>
        <w:tc>
          <w:tcPr>
            <w:tcW w:w="3715" w:type="dxa"/>
          </w:tcPr>
          <w:p w:rsidR="00DA7422" w:rsidRPr="009A09FD" w:rsidP="00DA7422" w14:paraId="76351271" w14:textId="77777777">
            <w:pPr>
              <w:pStyle w:val="BodyText0"/>
              <w:rPr>
                <w:snapToGrid w:val="0"/>
                <w:lang w:eastAsia="zh-CN"/>
              </w:rPr>
            </w:pPr>
            <w:r w:rsidRPr="009A09FD">
              <w:rPr>
                <w:snapToGrid w:val="0"/>
                <w:lang w:eastAsia="zh-CN"/>
              </w:rPr>
              <w:t xml:space="preserve">Attention: </w:t>
            </w:r>
          </w:p>
        </w:tc>
        <w:tc>
          <w:tcPr>
            <w:tcW w:w="4092" w:type="dxa"/>
          </w:tcPr>
          <w:p w:rsidR="00DA7422" w:rsidRPr="009A09FD" w:rsidP="00DA7422" w14:paraId="6D1168D7" w14:textId="63A8C7E2">
            <w:pPr>
              <w:pStyle w:val="BodyText0"/>
              <w:rPr>
                <w:b/>
                <w:snapToGrid w:val="0"/>
                <w:lang w:eastAsia="zh-CN"/>
              </w:rPr>
            </w:pPr>
            <w:r w:rsidRPr="009A09FD">
              <w:rPr>
                <w:b/>
                <w:snapToGrid w:val="0"/>
              </w:rPr>
              <w:t>[</w:t>
            </w:r>
            <w:r w:rsidRPr="009A09FD" w:rsidR="00265E03">
              <w:rPr>
                <w:b/>
                <w:snapToGrid w:val="0"/>
              </w:rPr>
              <w:t xml:space="preserve">Insert </w:t>
            </w:r>
            <w:r w:rsidRPr="009A09FD">
              <w:rPr>
                <w:b/>
                <w:snapToGrid w:val="0"/>
              </w:rPr>
              <w:t>name]</w:t>
            </w:r>
          </w:p>
        </w:tc>
      </w:tr>
    </w:tbl>
    <w:p w:rsidR="001C5107" w:rsidRPr="009A09FD" w:rsidP="00DC5454" w14:paraId="19E03176" w14:textId="77777777">
      <w:pPr>
        <w:pStyle w:val="Heading1"/>
        <w:rPr>
          <w:snapToGrid w:val="0"/>
        </w:rPr>
      </w:pPr>
      <w:bookmarkStart w:id="222" w:name="_Toc517409045"/>
      <w:bookmarkStart w:id="223" w:name="_Toc72862713"/>
      <w:bookmarkStart w:id="224" w:name="_Ref367265699"/>
      <w:r w:rsidRPr="009A09FD">
        <w:rPr>
          <w:snapToGrid w:val="0"/>
        </w:rPr>
        <w:t>Governing Law; Construction</w:t>
      </w:r>
      <w:bookmarkEnd w:id="222"/>
      <w:bookmarkEnd w:id="223"/>
    </w:p>
    <w:p w:rsidR="001C5107" w:rsidRPr="009A09FD" w:rsidP="00DC5454" w14:paraId="48D64A2B" w14:textId="63801E2A">
      <w:pPr>
        <w:pStyle w:val="BodyText1"/>
        <w:rPr>
          <w:snapToGrid w:val="0"/>
        </w:rPr>
      </w:pPr>
      <w:r w:rsidRPr="009A09FD">
        <w:rPr>
          <w:snapToGrid w:val="0"/>
        </w:rPr>
        <w:t>This Agreement and any claim, counterclaim or dispute of any kind or nature whatsoever arising out of or in any way relating to this Agreement, directly or indirectly, shall be governed by, and construed in accordance with, the laws of the State of New York. The section headings in this Agreement have been inserted as a matter of convenience of reference and are not a part of this Agreement.</w:t>
      </w:r>
      <w:bookmarkEnd w:id="224"/>
    </w:p>
    <w:p w:rsidR="001C5107" w:rsidRPr="009A09FD" w:rsidP="00DC5454" w14:paraId="5FE82657" w14:textId="77777777">
      <w:pPr>
        <w:pStyle w:val="Heading1"/>
        <w:rPr>
          <w:snapToGrid w:val="0"/>
        </w:rPr>
      </w:pPr>
      <w:bookmarkStart w:id="225" w:name="_Ref517407530"/>
      <w:bookmarkStart w:id="226" w:name="_Toc517409046"/>
      <w:bookmarkStart w:id="227" w:name="_Toc72862714"/>
      <w:bookmarkStart w:id="228" w:name="_Ref367265700"/>
      <w:r w:rsidRPr="009A09FD">
        <w:rPr>
          <w:snapToGrid w:val="0"/>
        </w:rPr>
        <w:t>Submission to Jurisdiction; Waiver of Immunity</w:t>
      </w:r>
      <w:bookmarkEnd w:id="225"/>
      <w:bookmarkEnd w:id="226"/>
      <w:bookmarkEnd w:id="227"/>
    </w:p>
    <w:p w:rsidR="001C5107" w:rsidRPr="009A09FD" w:rsidP="00DC5454" w14:paraId="6813C5D3" w14:textId="14FE6C48">
      <w:pPr>
        <w:pStyle w:val="BodyText1"/>
        <w:rPr>
          <w:snapToGrid w:val="0"/>
        </w:rPr>
      </w:pPr>
      <w:r w:rsidRPr="009A09FD">
        <w:rPr>
          <w:snapToGrid w:val="0"/>
        </w:rPr>
        <w:t>Any action, proceeding, claim or counterclaim of any kind or nature whatsoever</w:t>
      </w:r>
      <w:r w:rsidRPr="009A09FD" w:rsidR="008A0E14">
        <w:rPr>
          <w:snapToGrid w:val="0"/>
        </w:rPr>
        <w:t xml:space="preserve"> </w:t>
      </w:r>
      <w:r w:rsidRPr="009A09FD">
        <w:rPr>
          <w:snapToGrid w:val="0"/>
        </w:rPr>
        <w:t>arising out of or in any way relating to this Agreement, directly or indirectly, may be commenced, prosecuted or continued in the courts of the State of New York located in the City and County of New York or in the United States District Court for the Southern District of New York (each a “</w:t>
      </w:r>
      <w:r w:rsidRPr="009A09FD">
        <w:rPr>
          <w:b/>
          <w:snapToGrid w:val="0"/>
        </w:rPr>
        <w:t>New York Court</w:t>
      </w:r>
      <w:r w:rsidRPr="009A09FD">
        <w:rPr>
          <w:snapToGrid w:val="0"/>
        </w:rPr>
        <w:t xml:space="preserve">”), </w:t>
      </w:r>
      <w:r w:rsidRPr="009A09FD" w:rsidR="00920DD5">
        <w:rPr>
          <w:snapToGrid w:val="0"/>
        </w:rPr>
        <w:t>which courts shall have non-exclusive jurisdiction over the adjudication of such matters, and</w:t>
      </w:r>
      <w:r w:rsidRPr="009A09FD">
        <w:rPr>
          <w:snapToGrid w:val="0"/>
        </w:rPr>
        <w:t xml:space="preserve"> each of the </w:t>
      </w:r>
      <w:r w:rsidRPr="009A09FD">
        <w:rPr>
          <w:rFonts w:hint="eastAsia"/>
          <w:snapToGrid w:val="0"/>
        </w:rPr>
        <w:t>Warrantors</w:t>
      </w:r>
      <w:r w:rsidRPr="009A09FD">
        <w:rPr>
          <w:snapToGrid w:val="0"/>
        </w:rPr>
        <w:t xml:space="preserve"> irrevocably consents to the non-exclusive jurisdiction of the New York </w:t>
      </w:r>
      <w:r w:rsidRPr="009A09FD">
        <w:rPr>
          <w:rFonts w:hint="eastAsia"/>
          <w:snapToGrid w:val="0"/>
        </w:rPr>
        <w:t>C</w:t>
      </w:r>
      <w:r w:rsidRPr="009A09FD">
        <w:rPr>
          <w:snapToGrid w:val="0"/>
        </w:rPr>
        <w:t xml:space="preserve">ourts and personal service, and waives any objection to any New York </w:t>
      </w:r>
      <w:r w:rsidRPr="009A09FD">
        <w:rPr>
          <w:rFonts w:hint="eastAsia"/>
          <w:snapToGrid w:val="0"/>
        </w:rPr>
        <w:t>C</w:t>
      </w:r>
      <w:r w:rsidRPr="009A09FD">
        <w:rPr>
          <w:snapToGrid w:val="0"/>
        </w:rPr>
        <w:t>ourt on grounds of inconvenient forum or otherwise, with respect thereto.</w:t>
      </w:r>
      <w:r w:rsidRPr="009A09FD" w:rsidR="008678DB">
        <w:rPr>
          <w:snapToGrid w:val="0"/>
        </w:rPr>
        <w:t xml:space="preserve"> The Warrantors agree that any International Underwriter or any Indemnified Party entitled to seek indemnity against the Warrantors hereunder shall have the sole and absolute right to join the Warrantors as a party to any action, proceeding, claim or counterclaim arising out of or relating to this Agreement which is brought in any court by any third party against such International Underwriter or Indemnified Party or to otherwise pursue any claim (whether by way of a claim for an indemnity, contribution or otherwise) against the Warrantors in such action, proceeding, claim or counterclaim. </w:t>
      </w:r>
      <w:r w:rsidRPr="009A09FD">
        <w:rPr>
          <w:snapToGrid w:val="0"/>
        </w:rPr>
        <w:t xml:space="preserve">Each of the </w:t>
      </w:r>
      <w:r w:rsidRPr="009A09FD">
        <w:rPr>
          <w:rFonts w:hint="eastAsia"/>
          <w:snapToGrid w:val="0"/>
        </w:rPr>
        <w:t>Warrantors</w:t>
      </w:r>
      <w:r w:rsidRPr="009A09FD">
        <w:rPr>
          <w:snapToGrid w:val="0"/>
        </w:rPr>
        <w:t xml:space="preserve"> hereby irrevocably consents to personal jurisdiction, service and venue in any court in which any action, proceeding, claim or counterclaim arising out of or relating to this Agreement is brought by any third party against any </w:t>
      </w:r>
      <w:r w:rsidRPr="009A09FD" w:rsidR="00986209">
        <w:rPr>
          <w:snapToGrid w:val="0"/>
        </w:rPr>
        <w:t>Overall Coordinator</w:t>
      </w:r>
      <w:r w:rsidRPr="009A09FD" w:rsidR="00455585">
        <w:rPr>
          <w:snapToGrid w:val="0"/>
        </w:rPr>
        <w:t xml:space="preserve">, </w:t>
      </w:r>
      <w:r w:rsidRPr="009A09FD">
        <w:rPr>
          <w:snapToGrid w:val="0"/>
        </w:rPr>
        <w:t xml:space="preserve">Joint Global Coordinator, </w:t>
      </w:r>
      <w:r w:rsidRPr="009A09FD" w:rsidR="005F2316">
        <w:rPr>
          <w:snapToGrid w:val="0"/>
        </w:rPr>
        <w:t xml:space="preserve">Joint </w:t>
      </w:r>
      <w:r w:rsidRPr="009A09FD" w:rsidR="00A748D0">
        <w:rPr>
          <w:snapToGrid w:val="0"/>
        </w:rPr>
        <w:t>Sponsor</w:t>
      </w:r>
      <w:r w:rsidRPr="009A09FD">
        <w:rPr>
          <w:snapToGrid w:val="0"/>
        </w:rPr>
        <w:t xml:space="preserve">, </w:t>
      </w:r>
      <w:r w:rsidRPr="009A09FD" w:rsidR="00C936F9">
        <w:rPr>
          <w:snapToGrid w:val="0"/>
        </w:rPr>
        <w:t xml:space="preserve">Sponsor-OC, </w:t>
      </w:r>
      <w:r w:rsidRPr="009A09FD">
        <w:rPr>
          <w:snapToGrid w:val="0"/>
        </w:rPr>
        <w:t>Joint Bookrunner, Joint Lead Manager,</w:t>
      </w:r>
      <w:r w:rsidRPr="009A09FD" w:rsidR="00C936F9">
        <w:rPr>
          <w:snapToGrid w:val="0"/>
        </w:rPr>
        <w:t xml:space="preserve"> CMI,</w:t>
      </w:r>
      <w:r w:rsidRPr="009A09FD">
        <w:rPr>
          <w:snapToGrid w:val="0"/>
        </w:rPr>
        <w:t xml:space="preserve"> International Underwriter or any other Indemnified Party entitled to seek indemnity against the </w:t>
      </w:r>
      <w:r w:rsidRPr="009A09FD">
        <w:rPr>
          <w:rFonts w:hint="eastAsia"/>
          <w:snapToGrid w:val="0"/>
        </w:rPr>
        <w:t>Warrantors</w:t>
      </w:r>
      <w:r w:rsidRPr="009A09FD">
        <w:rPr>
          <w:snapToGrid w:val="0"/>
        </w:rPr>
        <w:t xml:space="preserve"> hereunder.  Each party hereto irrevocably waives</w:t>
      </w:r>
      <w:r w:rsidRPr="009A09FD" w:rsidR="004250E1">
        <w:rPr>
          <w:snapToGrid w:val="0"/>
        </w:rPr>
        <w:t xml:space="preserve"> and agrees not to claim</w:t>
      </w:r>
      <w:r w:rsidRPr="009A09FD">
        <w:rPr>
          <w:snapToGrid w:val="0"/>
        </w:rPr>
        <w:t xml:space="preserve"> all right to trial by jury in any action, proceeding, claim or counterclaim (whether based upon contract, tort or otherwise) in any way arising out of or relating to this Agreement.  Each of the </w:t>
      </w:r>
      <w:r w:rsidRPr="009A09FD">
        <w:rPr>
          <w:rFonts w:hint="eastAsia"/>
          <w:snapToGrid w:val="0"/>
        </w:rPr>
        <w:t>Warrantors</w:t>
      </w:r>
      <w:r w:rsidRPr="009A09FD">
        <w:rPr>
          <w:snapToGrid w:val="0"/>
        </w:rPr>
        <w:t xml:space="preserve"> irrevocably agrees that a final judgment in any such action, proceeding, claim or counterclaim brought in any New York </w:t>
      </w:r>
      <w:r w:rsidRPr="009A09FD">
        <w:rPr>
          <w:rFonts w:hint="eastAsia"/>
          <w:snapToGrid w:val="0"/>
        </w:rPr>
        <w:t>C</w:t>
      </w:r>
      <w:r w:rsidRPr="009A09FD">
        <w:rPr>
          <w:snapToGrid w:val="0"/>
        </w:rPr>
        <w:t xml:space="preserve">ourt shall be conclusive and binding upon the </w:t>
      </w:r>
      <w:r w:rsidRPr="009A09FD">
        <w:rPr>
          <w:rFonts w:hint="eastAsia"/>
          <w:snapToGrid w:val="0"/>
        </w:rPr>
        <w:t>Warrantors</w:t>
      </w:r>
      <w:r w:rsidRPr="009A09FD">
        <w:rPr>
          <w:snapToGrid w:val="0"/>
        </w:rPr>
        <w:t xml:space="preserve">, as the case may be, and may be enforced in any other courts to the jurisdiction of which the </w:t>
      </w:r>
      <w:r w:rsidRPr="009A09FD">
        <w:rPr>
          <w:rFonts w:hint="eastAsia"/>
          <w:snapToGrid w:val="0"/>
        </w:rPr>
        <w:t>Warrantors</w:t>
      </w:r>
      <w:r w:rsidRPr="009A09FD">
        <w:rPr>
          <w:snapToGrid w:val="0"/>
        </w:rPr>
        <w:t xml:space="preserve">, as the case may be, is or may be subject by suit upon such judgment.  Each of the </w:t>
      </w:r>
      <w:r w:rsidRPr="009A09FD">
        <w:rPr>
          <w:rFonts w:hint="eastAsia"/>
          <w:snapToGrid w:val="0"/>
        </w:rPr>
        <w:t>Warrantors</w:t>
      </w:r>
      <w:r w:rsidRPr="009A09FD">
        <w:rPr>
          <w:snapToGrid w:val="0"/>
        </w:rPr>
        <w:t>, on behalf of itself and any of its properties, assets and revenues, hereby irrevocably waives</w:t>
      </w:r>
      <w:r w:rsidRPr="009A09FD" w:rsidR="00790C7D">
        <w:rPr>
          <w:snapToGrid w:val="0"/>
        </w:rPr>
        <w:t xml:space="preserve"> and agrees not to claim</w:t>
      </w:r>
      <w:r w:rsidRPr="009A09FD">
        <w:rPr>
          <w:snapToGrid w:val="0"/>
        </w:rPr>
        <w:t>, to the fullest extent permitted by applicable law, any and all immunity (whether on the basis of sovereignty or crown status</w:t>
      </w:r>
      <w:r w:rsidRPr="009A09FD" w:rsidR="00794A43">
        <w:rPr>
          <w:snapToGrid w:val="0"/>
        </w:rPr>
        <w:t>, immunity for “acts of state”</w:t>
      </w:r>
      <w:r w:rsidRPr="009A09FD">
        <w:rPr>
          <w:snapToGrid w:val="0"/>
        </w:rPr>
        <w:t xml:space="preserve"> or otherwise) from any action, suit or proceeding, from set-off or counterclaim, from the jurisdiction of any court, from service of process, from attachment to or in aid of execution of any judgment, decision, determination, order or award </w:t>
      </w:r>
      <w:r w:rsidRPr="009A09FD" w:rsidR="00D5146E">
        <w:rPr>
          <w:snapToGrid w:val="0"/>
        </w:rPr>
        <w:t xml:space="preserve">(regardless of whether such attachment is sought prior to or following the entry of judgment, decision, determination, order or award), </w:t>
      </w:r>
      <w:r w:rsidRPr="009A09FD">
        <w:rPr>
          <w:snapToGrid w:val="0"/>
        </w:rPr>
        <w:t xml:space="preserve">or from other action, suit or proceeding for the giving of any relief or for the enforcement of any judgment, decision, determination, order or award, to which it or its properties, assets and revenues may otherwise be entitled in any action, suit or proceeding arising in connection with this Agreement or the transactions contemplated hereby brought in any New York </w:t>
      </w:r>
      <w:r w:rsidRPr="009A09FD">
        <w:rPr>
          <w:rFonts w:hint="eastAsia"/>
          <w:snapToGrid w:val="0"/>
        </w:rPr>
        <w:t>C</w:t>
      </w:r>
      <w:r w:rsidRPr="009A09FD">
        <w:rPr>
          <w:snapToGrid w:val="0"/>
        </w:rPr>
        <w:t xml:space="preserve">ourts or in any other courts.  Each of the </w:t>
      </w:r>
      <w:r w:rsidRPr="009A09FD">
        <w:rPr>
          <w:rFonts w:hint="eastAsia"/>
          <w:snapToGrid w:val="0"/>
        </w:rPr>
        <w:t>Warrantors</w:t>
      </w:r>
      <w:r w:rsidRPr="009A09FD">
        <w:rPr>
          <w:snapToGrid w:val="0"/>
        </w:rPr>
        <w:t xml:space="preserve"> has appointed, without power of revocation, </w:t>
      </w:r>
      <w:r w:rsidRPr="009A09FD" w:rsidR="009858F1">
        <w:rPr>
          <w:b/>
          <w:bCs/>
        </w:rPr>
        <w:t>[</w:t>
      </w:r>
      <w:r w:rsidRPr="009A09FD" w:rsidR="00265E03">
        <w:rPr>
          <w:b/>
          <w:bCs/>
          <w:snapToGrid w:val="0"/>
        </w:rPr>
        <w:t xml:space="preserve">Insert </w:t>
      </w:r>
      <w:r w:rsidRPr="009A09FD" w:rsidR="009858F1">
        <w:rPr>
          <w:b/>
          <w:bCs/>
        </w:rPr>
        <w:t>the name of the New York Process Agent]</w:t>
      </w:r>
      <w:r>
        <w:rPr>
          <w:rStyle w:val="FootnoteReference"/>
          <w:bCs/>
        </w:rPr>
        <w:footnoteReference w:id="27"/>
      </w:r>
      <w:r w:rsidRPr="009A09FD" w:rsidR="00F20173">
        <w:t xml:space="preserve"> </w:t>
      </w:r>
      <w:r w:rsidRPr="009A09FD">
        <w:rPr>
          <w:snapToGrid w:val="0"/>
        </w:rPr>
        <w:t xml:space="preserve">with offices at </w:t>
      </w:r>
      <w:r w:rsidRPr="009A09FD" w:rsidR="009858F1">
        <w:rPr>
          <w:b/>
          <w:bCs/>
        </w:rPr>
        <w:t>[</w:t>
      </w:r>
      <w:r w:rsidRPr="009A09FD" w:rsidR="00265E03">
        <w:rPr>
          <w:b/>
          <w:bCs/>
          <w:snapToGrid w:val="0"/>
        </w:rPr>
        <w:t xml:space="preserve">Insert </w:t>
      </w:r>
      <w:r w:rsidRPr="009A09FD" w:rsidR="009858F1">
        <w:rPr>
          <w:b/>
          <w:bCs/>
        </w:rPr>
        <w:t>the address of the New York Process Agent]</w:t>
      </w:r>
      <w:r w:rsidRPr="009A09FD" w:rsidR="00F20173">
        <w:t xml:space="preserve"> </w:t>
      </w:r>
      <w:r w:rsidRPr="009A09FD">
        <w:rPr>
          <w:snapToGrid w:val="0"/>
        </w:rPr>
        <w:t>as its agent to accept and acknowledge on its behalf service of any and all process which may be served in any action, suit or proceeding, claim or counterclaim arising out of or relating to this Agreement and in any manner permitted by applicable law.</w:t>
      </w:r>
      <w:bookmarkEnd w:id="228"/>
      <w:r w:rsidRPr="009A09FD" w:rsidR="00B975F0">
        <w:rPr>
          <w:snapToGrid w:val="0"/>
        </w:rPr>
        <w:t xml:space="preserve"> Service of process upon such authorized agent and written notice of such service to the Warrantors shall be deemed, in every respect, effective service of process upon the Warrantors, as the case may be. </w:t>
      </w:r>
    </w:p>
    <w:p w:rsidR="001C5107" w:rsidRPr="009A09FD" w:rsidP="00DC5454" w14:paraId="599910E8" w14:textId="77777777">
      <w:pPr>
        <w:pStyle w:val="Heading1"/>
        <w:rPr>
          <w:snapToGrid w:val="0"/>
        </w:rPr>
      </w:pPr>
      <w:bookmarkStart w:id="229" w:name="_Toc517409047"/>
      <w:bookmarkStart w:id="230" w:name="_Toc72862715"/>
      <w:bookmarkStart w:id="231" w:name="_Ref367265701"/>
      <w:r w:rsidRPr="009A09FD">
        <w:rPr>
          <w:snapToGrid w:val="0"/>
        </w:rPr>
        <w:t>Currency Indemnity</w:t>
      </w:r>
      <w:bookmarkEnd w:id="229"/>
      <w:bookmarkEnd w:id="230"/>
    </w:p>
    <w:p w:rsidR="001C5107" w:rsidRPr="009A09FD" w:rsidP="00DC5454" w14:paraId="602A8BA4" w14:textId="53B15E4D">
      <w:pPr>
        <w:pStyle w:val="BodyText1"/>
        <w:rPr>
          <w:snapToGrid w:val="0"/>
        </w:rPr>
      </w:pPr>
      <w:r w:rsidRPr="009A09FD">
        <w:rPr>
          <w:snapToGrid w:val="0"/>
        </w:rPr>
        <w:t xml:space="preserve">In respect of any judgment or order or award given or made for any amount due hereunder to the </w:t>
      </w:r>
      <w:r w:rsidRPr="009A09FD" w:rsidR="00F71F86">
        <w:rPr>
          <w:snapToGrid w:val="0"/>
        </w:rPr>
        <w:t>Overall Coordinators</w:t>
      </w:r>
      <w:r w:rsidRPr="009A09FD">
        <w:rPr>
          <w:snapToGrid w:val="0"/>
        </w:rPr>
        <w:t xml:space="preserve">, the Joint Global Coordinators, the </w:t>
      </w:r>
      <w:r w:rsidRPr="009A09FD" w:rsidR="001D07B1">
        <w:rPr>
          <w:snapToGrid w:val="0"/>
        </w:rPr>
        <w:t xml:space="preserve">Joint </w:t>
      </w:r>
      <w:r w:rsidRPr="009A09FD" w:rsidR="004307BB">
        <w:rPr>
          <w:snapToGrid w:val="0"/>
        </w:rPr>
        <w:t>Sponsor</w:t>
      </w:r>
      <w:r w:rsidRPr="009A09FD" w:rsidR="001D07B1">
        <w:rPr>
          <w:snapToGrid w:val="0"/>
        </w:rPr>
        <w:t>s</w:t>
      </w:r>
      <w:r w:rsidRPr="009A09FD">
        <w:rPr>
          <w:snapToGrid w:val="0"/>
        </w:rPr>
        <w:t>,</w:t>
      </w:r>
      <w:r w:rsidRPr="009A09FD" w:rsidR="00C936F9">
        <w:rPr>
          <w:snapToGrid w:val="0"/>
        </w:rPr>
        <w:t xml:space="preserve"> the Sponsor-OC,</w:t>
      </w:r>
      <w:r w:rsidRPr="009A09FD">
        <w:rPr>
          <w:snapToGrid w:val="0"/>
        </w:rPr>
        <w:t xml:space="preserve"> the Joint Bookrunners, </w:t>
      </w:r>
      <w:r w:rsidRPr="009A09FD" w:rsidR="00A16A1F">
        <w:rPr>
          <w:snapToGrid w:val="0"/>
        </w:rPr>
        <w:t>the CMIs</w:t>
      </w:r>
      <w:r w:rsidRPr="009A09FD" w:rsidR="00C936F9">
        <w:rPr>
          <w:snapToGrid w:val="0"/>
        </w:rPr>
        <w:t>,</w:t>
      </w:r>
      <w:r w:rsidRPr="009A09FD">
        <w:rPr>
          <w:snapToGrid w:val="0"/>
        </w:rPr>
        <w:t xml:space="preserve"> </w:t>
      </w:r>
      <w:r w:rsidRPr="009A09FD" w:rsidR="00C936F9">
        <w:rPr>
          <w:snapToGrid w:val="0"/>
        </w:rPr>
        <w:t xml:space="preserve">the International Underwriters, </w:t>
      </w:r>
      <w:r w:rsidRPr="009A09FD">
        <w:rPr>
          <w:snapToGrid w:val="0"/>
        </w:rPr>
        <w:t>or any other Indemnified Party that is expressed and paid in a currency (the “</w:t>
      </w:r>
      <w:r w:rsidRPr="009A09FD">
        <w:rPr>
          <w:b/>
          <w:snapToGrid w:val="0"/>
        </w:rPr>
        <w:t>judgment currency</w:t>
      </w:r>
      <w:r w:rsidRPr="009A09FD">
        <w:rPr>
          <w:snapToGrid w:val="0"/>
        </w:rPr>
        <w:t xml:space="preserve">”) other than United States dollars, each of the </w:t>
      </w:r>
      <w:r w:rsidRPr="009A09FD">
        <w:rPr>
          <w:rFonts w:hint="eastAsia"/>
          <w:snapToGrid w:val="0"/>
        </w:rPr>
        <w:t>Warrantors</w:t>
      </w:r>
      <w:r w:rsidRPr="009A09FD">
        <w:rPr>
          <w:snapToGrid w:val="0"/>
        </w:rPr>
        <w:t xml:space="preserve"> will </w:t>
      </w:r>
      <w:r w:rsidRPr="009A09FD" w:rsidR="00586607">
        <w:rPr>
          <w:snapToGrid w:val="0"/>
        </w:rPr>
        <w:t xml:space="preserve">jointly and severally </w:t>
      </w:r>
      <w:r w:rsidRPr="009A09FD">
        <w:rPr>
          <w:snapToGrid w:val="0"/>
        </w:rPr>
        <w:t xml:space="preserve">indemnify each </w:t>
      </w:r>
      <w:r w:rsidRPr="009A09FD" w:rsidR="002E13F0">
        <w:rPr>
          <w:snapToGrid w:val="0"/>
        </w:rPr>
        <w:t>Overall Coordinator</w:t>
      </w:r>
      <w:r w:rsidRPr="009A09FD" w:rsidR="00DF207B">
        <w:rPr>
          <w:snapToGrid w:val="0"/>
        </w:rPr>
        <w:t xml:space="preserve">, </w:t>
      </w:r>
      <w:r w:rsidRPr="009A09FD">
        <w:rPr>
          <w:snapToGrid w:val="0"/>
        </w:rPr>
        <w:t xml:space="preserve">Joint Global Coordinator, </w:t>
      </w:r>
      <w:r w:rsidRPr="009A09FD" w:rsidR="002E13F0">
        <w:rPr>
          <w:snapToGrid w:val="0"/>
        </w:rPr>
        <w:t xml:space="preserve">Joint </w:t>
      </w:r>
      <w:r w:rsidRPr="009A09FD">
        <w:rPr>
          <w:snapToGrid w:val="0"/>
        </w:rPr>
        <w:t>Sponsor,</w:t>
      </w:r>
      <w:r w:rsidRPr="009A09FD" w:rsidR="00C936F9">
        <w:rPr>
          <w:snapToGrid w:val="0"/>
        </w:rPr>
        <w:t xml:space="preserve"> Sponsor-OC,</w:t>
      </w:r>
      <w:r w:rsidRPr="009A09FD">
        <w:rPr>
          <w:snapToGrid w:val="0"/>
        </w:rPr>
        <w:t xml:space="preserve"> Joint Bookrunner, Joint Lead Manager, </w:t>
      </w:r>
      <w:r w:rsidRPr="009A09FD" w:rsidR="00B829D7">
        <w:rPr>
          <w:snapToGrid w:val="0"/>
        </w:rPr>
        <w:t>CMI</w:t>
      </w:r>
      <w:r w:rsidRPr="009A09FD" w:rsidR="00C936F9">
        <w:rPr>
          <w:snapToGrid w:val="0"/>
        </w:rPr>
        <w:t>,</w:t>
      </w:r>
      <w:r w:rsidRPr="009A09FD">
        <w:rPr>
          <w:snapToGrid w:val="0"/>
        </w:rPr>
        <w:t xml:space="preserve"> </w:t>
      </w:r>
      <w:r w:rsidRPr="009A09FD" w:rsidR="00C936F9">
        <w:rPr>
          <w:snapToGrid w:val="0"/>
        </w:rPr>
        <w:t xml:space="preserve">International Underwriter, </w:t>
      </w:r>
      <w:r w:rsidRPr="009A09FD">
        <w:rPr>
          <w:snapToGrid w:val="0"/>
        </w:rPr>
        <w:t xml:space="preserve">or any other Indemnified Party against any loss incurred by such </w:t>
      </w:r>
      <w:r w:rsidRPr="009A09FD" w:rsidR="00EE10E6">
        <w:rPr>
          <w:snapToGrid w:val="0"/>
        </w:rPr>
        <w:t>Overall Coordinator</w:t>
      </w:r>
      <w:r w:rsidRPr="009A09FD" w:rsidR="009D257F">
        <w:rPr>
          <w:snapToGrid w:val="0"/>
        </w:rPr>
        <w:t xml:space="preserve">, </w:t>
      </w:r>
      <w:r w:rsidRPr="009A09FD">
        <w:rPr>
          <w:snapToGrid w:val="0"/>
        </w:rPr>
        <w:t>Joint Global Coordinator,</w:t>
      </w:r>
      <w:r w:rsidRPr="009A09FD" w:rsidR="00EE10E6">
        <w:rPr>
          <w:snapToGrid w:val="0"/>
        </w:rPr>
        <w:t xml:space="preserve"> Joint</w:t>
      </w:r>
      <w:r w:rsidRPr="009A09FD" w:rsidR="009A1D56">
        <w:rPr>
          <w:snapToGrid w:val="0"/>
        </w:rPr>
        <w:t xml:space="preserve"> </w:t>
      </w:r>
      <w:r w:rsidRPr="009A09FD">
        <w:rPr>
          <w:snapToGrid w:val="0"/>
        </w:rPr>
        <w:t>Sponsor,</w:t>
      </w:r>
      <w:r w:rsidRPr="009A09FD" w:rsidR="00C936F9">
        <w:rPr>
          <w:snapToGrid w:val="0"/>
        </w:rPr>
        <w:t xml:space="preserve"> Sponsor-OC,</w:t>
      </w:r>
      <w:r w:rsidRPr="009A09FD">
        <w:rPr>
          <w:snapToGrid w:val="0"/>
        </w:rPr>
        <w:t xml:space="preserve"> Joint Bookrunner, Joint Lead Manager, </w:t>
      </w:r>
      <w:r w:rsidRPr="009A09FD" w:rsidR="00C936F9">
        <w:rPr>
          <w:snapToGrid w:val="0"/>
        </w:rPr>
        <w:t xml:space="preserve">CMI, </w:t>
      </w:r>
      <w:r w:rsidRPr="009A09FD">
        <w:rPr>
          <w:snapToGrid w:val="0"/>
        </w:rPr>
        <w:t xml:space="preserve">International Underwriter or any other Indemnified Party as a result of any variation as between </w:t>
      </w:r>
      <w:bookmarkStart w:id="232" w:name="DocXTextRef149"/>
      <w:r w:rsidRPr="009A09FD">
        <w:rPr>
          <w:snapToGrid w:val="0"/>
        </w:rPr>
        <w:t>(A)</w:t>
      </w:r>
      <w:bookmarkEnd w:id="232"/>
      <w:r w:rsidRPr="009A09FD">
        <w:rPr>
          <w:snapToGrid w:val="0"/>
        </w:rPr>
        <w:t xml:space="preserve"> the rate of exchange at which the United States dollar amount is converted into the judgment currency for the purpose of such judgment or order and </w:t>
      </w:r>
      <w:bookmarkStart w:id="233" w:name="DocXTextRef150"/>
      <w:r w:rsidRPr="009A09FD">
        <w:rPr>
          <w:snapToGrid w:val="0"/>
        </w:rPr>
        <w:t>(B)</w:t>
      </w:r>
      <w:bookmarkEnd w:id="233"/>
      <w:r w:rsidRPr="009A09FD">
        <w:rPr>
          <w:snapToGrid w:val="0"/>
        </w:rPr>
        <w:t xml:space="preserve"> the rate of exchange at which such </w:t>
      </w:r>
      <w:r w:rsidRPr="009A09FD" w:rsidR="003D6F58">
        <w:rPr>
          <w:snapToGrid w:val="0"/>
        </w:rPr>
        <w:t>Overall Coordinator</w:t>
      </w:r>
      <w:r w:rsidRPr="009A09FD" w:rsidR="00C936F9">
        <w:rPr>
          <w:snapToGrid w:val="0"/>
        </w:rPr>
        <w:t>,</w:t>
      </w:r>
      <w:r w:rsidRPr="009A09FD" w:rsidR="00D77FED">
        <w:rPr>
          <w:snapToGrid w:val="0"/>
        </w:rPr>
        <w:t xml:space="preserve"> </w:t>
      </w:r>
      <w:r w:rsidRPr="009A09FD">
        <w:rPr>
          <w:snapToGrid w:val="0"/>
        </w:rPr>
        <w:t xml:space="preserve">Joint Global Coordinator, </w:t>
      </w:r>
      <w:r w:rsidRPr="009A09FD" w:rsidR="003D6F58">
        <w:rPr>
          <w:snapToGrid w:val="0"/>
        </w:rPr>
        <w:t xml:space="preserve">Joint </w:t>
      </w:r>
      <w:r w:rsidRPr="009A09FD">
        <w:rPr>
          <w:snapToGrid w:val="0"/>
        </w:rPr>
        <w:t xml:space="preserve">Sponsor, </w:t>
      </w:r>
      <w:r w:rsidRPr="009A09FD" w:rsidR="00C936F9">
        <w:rPr>
          <w:snapToGrid w:val="0"/>
        </w:rPr>
        <w:t xml:space="preserve">Sponsor-OC, </w:t>
      </w:r>
      <w:r w:rsidRPr="009A09FD">
        <w:rPr>
          <w:snapToGrid w:val="0"/>
        </w:rPr>
        <w:t xml:space="preserve">Joint Bookrunner, Joint Lead Manager, </w:t>
      </w:r>
      <w:r w:rsidRPr="009A09FD" w:rsidR="00C936F9">
        <w:rPr>
          <w:snapToGrid w:val="0"/>
        </w:rPr>
        <w:t xml:space="preserve">CMI, </w:t>
      </w:r>
      <w:r w:rsidRPr="009A09FD">
        <w:rPr>
          <w:snapToGrid w:val="0"/>
        </w:rPr>
        <w:t>International Underwriter</w:t>
      </w:r>
      <w:r w:rsidRPr="009A09FD" w:rsidR="00C936F9">
        <w:rPr>
          <w:snapToGrid w:val="0"/>
        </w:rPr>
        <w:t xml:space="preserve"> </w:t>
      </w:r>
      <w:r w:rsidRPr="009A09FD">
        <w:rPr>
          <w:snapToGrid w:val="0"/>
        </w:rPr>
        <w:t xml:space="preserve">or any other Indemnified </w:t>
      </w:r>
      <w:r w:rsidR="00D6519D">
        <w:rPr>
          <w:snapToGrid w:val="0"/>
        </w:rPr>
        <w:t>Party</w:t>
      </w:r>
      <w:r w:rsidRPr="009A09FD">
        <w:rPr>
          <w:snapToGrid w:val="0"/>
        </w:rPr>
        <w:t xml:space="preserve"> is able to purchase United States dollars with the amount of the judgment currency actually received by such person.  The foregoing indemnity shall constitute a separate and independent obligation of the </w:t>
      </w:r>
      <w:r w:rsidRPr="009A09FD">
        <w:rPr>
          <w:rFonts w:hint="eastAsia"/>
          <w:snapToGrid w:val="0"/>
        </w:rPr>
        <w:t>Warrantors</w:t>
      </w:r>
      <w:r w:rsidRPr="009A09FD">
        <w:rPr>
          <w:snapToGrid w:val="0"/>
        </w:rPr>
        <w:t xml:space="preserve"> and shall continue in full force and effect notwithstanding any such judgment or order as aforesaid.  The term “</w:t>
      </w:r>
      <w:r w:rsidRPr="009A09FD">
        <w:rPr>
          <w:b/>
          <w:snapToGrid w:val="0"/>
        </w:rPr>
        <w:t>rate of exchange</w:t>
      </w:r>
      <w:r w:rsidRPr="009A09FD">
        <w:rPr>
          <w:snapToGrid w:val="0"/>
        </w:rPr>
        <w:t>” shall include any premiums and costs of exchange payable in connection with the purchase of or conversion into United States dollars.</w:t>
      </w:r>
      <w:bookmarkEnd w:id="231"/>
    </w:p>
    <w:p w:rsidR="001C5107" w:rsidRPr="009A09FD" w:rsidP="00DC5454" w14:paraId="5B3BF9FA" w14:textId="5D399516">
      <w:pPr>
        <w:pStyle w:val="Heading1"/>
        <w:rPr>
          <w:snapToGrid w:val="0"/>
        </w:rPr>
      </w:pPr>
      <w:bookmarkStart w:id="234" w:name="_Toc517409048"/>
      <w:bookmarkStart w:id="235" w:name="_Toc72862716"/>
      <w:bookmarkStart w:id="236" w:name="_Ref367265702"/>
      <w:r w:rsidRPr="009A09FD">
        <w:rPr>
          <w:snapToGrid w:val="0"/>
        </w:rPr>
        <w:t>Tax</w:t>
      </w:r>
      <w:bookmarkEnd w:id="234"/>
      <w:bookmarkEnd w:id="235"/>
    </w:p>
    <w:p w:rsidR="005A6CD4" w:rsidRPr="009A09FD" w:rsidP="005A6CD4" w14:paraId="5A8F36D9" w14:textId="5F7A8C69">
      <w:pPr>
        <w:pStyle w:val="BodyText1"/>
        <w:rPr>
          <w:snapToGrid w:val="0"/>
        </w:rPr>
      </w:pPr>
      <w:r w:rsidRPr="009A09FD">
        <w:rPr>
          <w:snapToGrid w:val="0"/>
        </w:rPr>
        <w:t xml:space="preserve">All payments to be made by or on behalf of the Company or the </w:t>
      </w:r>
      <w:r w:rsidRPr="009A09FD" w:rsidR="00F9165B">
        <w:rPr>
          <w:snapToGrid w:val="0"/>
        </w:rPr>
        <w:t>Warranting Shareholder</w:t>
      </w:r>
      <w:r w:rsidRPr="009A09FD">
        <w:rPr>
          <w:snapToGrid w:val="0"/>
        </w:rPr>
        <w:t xml:space="preserve">, as the case may be, under this Agreement shall be paid free and clear of and without deduction or withholding for or on account of, any and all present or future Taxes. If any Taxes are required by any Laws to be deducted or withheld in connection with such payments, the Company or the </w:t>
      </w:r>
      <w:r w:rsidRPr="009A09FD" w:rsidR="00F9165B">
        <w:rPr>
          <w:snapToGrid w:val="0"/>
        </w:rPr>
        <w:t xml:space="preserve">Warranting </w:t>
      </w:r>
      <w:r w:rsidRPr="009A09FD">
        <w:rPr>
          <w:snapToGrid w:val="0"/>
        </w:rPr>
        <w:t xml:space="preserve">Shareholders, as the case may be, will increase the amount paid and/or to be paid so that the full amount of such payments as agreed in this Agreement is received by the other parties as applicable. </w:t>
      </w:r>
    </w:p>
    <w:p w:rsidR="00FD0810" w:rsidRPr="009A09FD" w:rsidP="005A6CD4" w14:paraId="1702A986" w14:textId="6462BDCE">
      <w:pPr>
        <w:pStyle w:val="BodyText1"/>
        <w:rPr>
          <w:snapToGrid w:val="0"/>
        </w:rPr>
      </w:pPr>
      <w:r w:rsidRPr="009A09FD">
        <w:rPr>
          <w:snapToGrid w:val="0"/>
        </w:rPr>
        <w:t xml:space="preserve">If any of the other parties is required by any Authority to pay any Taxes as a result of this Agreement, the Company (or the </w:t>
      </w:r>
      <w:r w:rsidRPr="009A09FD" w:rsidR="00F9165B">
        <w:rPr>
          <w:snapToGrid w:val="0"/>
        </w:rPr>
        <w:t xml:space="preserve">Warranting </w:t>
      </w:r>
      <w:r w:rsidRPr="009A09FD">
        <w:rPr>
          <w:snapToGrid w:val="0"/>
        </w:rPr>
        <w:t>Shareholders, as the case may be) will pay an additional amount to such party so that the full amount of such payments as agreed in this Agreement to be paid to such party is received by such party and will further, if requested by such party, use reasonable efforts to give such assistance as such party may reasonably request to assist such party in discharging its obligations in respect of such Taxes, including by (a) making filings and submissions on such basis and such terms as such party may reasonably request, (b) promptly making available to such party notices received from any Authority, and (c) subject to the receipt of funds from such party, by making payment of such funds on behalf of such party to the relevant Authority in settlement of such Taxes and, forwarding to such party for record an official receipt issued by the relevant Authority or other official document evidencing such payment.</w:t>
      </w:r>
      <w:r w:rsidRPr="009A09FD" w:rsidR="00567A4A">
        <w:rPr>
          <w:snapToGrid w:val="0"/>
        </w:rPr>
        <w:t xml:space="preserve"> </w:t>
      </w:r>
    </w:p>
    <w:p w:rsidR="001C5107" w:rsidRPr="009A09FD" w:rsidP="00DC5454" w14:paraId="280A0A19" w14:textId="77777777">
      <w:pPr>
        <w:pStyle w:val="Heading1"/>
        <w:rPr>
          <w:snapToGrid w:val="0"/>
        </w:rPr>
      </w:pPr>
      <w:bookmarkStart w:id="237" w:name="_Toc517409049"/>
      <w:bookmarkStart w:id="238" w:name="_Toc72862717"/>
      <w:bookmarkStart w:id="239" w:name="_Ref367265703"/>
      <w:bookmarkEnd w:id="236"/>
      <w:r w:rsidRPr="009A09FD">
        <w:rPr>
          <w:snapToGrid w:val="0"/>
        </w:rPr>
        <w:t>No Fiduciary Relationship</w:t>
      </w:r>
      <w:bookmarkEnd w:id="237"/>
      <w:bookmarkEnd w:id="238"/>
    </w:p>
    <w:p w:rsidR="001C5107" w:rsidRPr="009A09FD" w:rsidP="00DC5454" w14:paraId="24322665" w14:textId="4A8AE895">
      <w:pPr>
        <w:pStyle w:val="BodyText1"/>
        <w:rPr>
          <w:snapToGrid w:val="0"/>
        </w:rPr>
      </w:pPr>
      <w:r w:rsidRPr="009A09FD">
        <w:rPr>
          <w:snapToGrid w:val="0"/>
        </w:rPr>
        <w:t xml:space="preserve">Each of the </w:t>
      </w:r>
      <w:r w:rsidRPr="009A09FD">
        <w:rPr>
          <w:rFonts w:hint="eastAsia"/>
          <w:snapToGrid w:val="0"/>
        </w:rPr>
        <w:t>Warrantors</w:t>
      </w:r>
      <w:r w:rsidRPr="009A09FD">
        <w:rPr>
          <w:snapToGrid w:val="0"/>
        </w:rPr>
        <w:t xml:space="preserve"> acknowledges and agrees that the International Underwriters, in their roles as such, are acting solely as underwriters in connection with the purchase and sale of the Shares; the </w:t>
      </w:r>
      <w:r w:rsidRPr="009A09FD" w:rsidR="00857A8B">
        <w:rPr>
          <w:snapToGrid w:val="0"/>
        </w:rPr>
        <w:t>Overall Coordinators</w:t>
      </w:r>
      <w:r w:rsidRPr="009A09FD" w:rsidR="00773F23">
        <w:rPr>
          <w:snapToGrid w:val="0"/>
        </w:rPr>
        <w:t xml:space="preserve"> and the Sponsor-OC</w:t>
      </w:r>
      <w:r w:rsidRPr="009A09FD">
        <w:rPr>
          <w:snapToGrid w:val="0"/>
        </w:rPr>
        <w:t xml:space="preserve">, in their role as such, are acting solely as the </w:t>
      </w:r>
      <w:r w:rsidRPr="009A09FD" w:rsidR="00E862DE">
        <w:rPr>
          <w:snapToGrid w:val="0"/>
        </w:rPr>
        <w:t>Overall Coordinators</w:t>
      </w:r>
      <w:r w:rsidRPr="009A09FD" w:rsidR="00773F23">
        <w:rPr>
          <w:snapToGrid w:val="0"/>
        </w:rPr>
        <w:t xml:space="preserve"> and the Sponsor-OC</w:t>
      </w:r>
      <w:r w:rsidRPr="009A09FD" w:rsidR="005539B3">
        <w:rPr>
          <w:snapToGrid w:val="0"/>
        </w:rPr>
        <w:t>s</w:t>
      </w:r>
      <w:r w:rsidRPr="009A09FD" w:rsidR="00773F23">
        <w:rPr>
          <w:snapToGrid w:val="0"/>
        </w:rPr>
        <w:t xml:space="preserve"> </w:t>
      </w:r>
      <w:r w:rsidRPr="009A09FD">
        <w:rPr>
          <w:snapToGrid w:val="0"/>
        </w:rPr>
        <w:t xml:space="preserve">of the Global Offering; the Joint Global Coordinators, in their role as such, are acting solely as the Joint Global Coordinators of the Global Offering, the Joint Bookrunners, in their role as such, are acting solely as the Joint Bookrunners of the Global Offering; and the Joint Lead Managers, in their role as such, are acting solely as the Joint Lead Managers of the Global Offering; the </w:t>
      </w:r>
      <w:r w:rsidRPr="009A09FD" w:rsidR="00E862DE">
        <w:rPr>
          <w:snapToGrid w:val="0"/>
        </w:rPr>
        <w:t xml:space="preserve">Joint </w:t>
      </w:r>
      <w:r w:rsidRPr="009A09FD" w:rsidR="004307BB">
        <w:rPr>
          <w:snapToGrid w:val="0"/>
        </w:rPr>
        <w:t>Sponsor</w:t>
      </w:r>
      <w:r w:rsidRPr="009A09FD" w:rsidR="00E862DE">
        <w:rPr>
          <w:snapToGrid w:val="0"/>
        </w:rPr>
        <w:t>s</w:t>
      </w:r>
      <w:r w:rsidRPr="009A09FD">
        <w:rPr>
          <w:snapToGrid w:val="0"/>
        </w:rPr>
        <w:t xml:space="preserve">, in </w:t>
      </w:r>
      <w:r w:rsidRPr="009A09FD" w:rsidR="00E862DE">
        <w:rPr>
          <w:snapToGrid w:val="0"/>
        </w:rPr>
        <w:t xml:space="preserve">their </w:t>
      </w:r>
      <w:r w:rsidRPr="009A09FD">
        <w:rPr>
          <w:snapToGrid w:val="0"/>
        </w:rPr>
        <w:t>role as such, are acting solely as sponsors in connection with the listing of the Shares on the Stock Exchange</w:t>
      </w:r>
      <w:r w:rsidRPr="009A09FD" w:rsidR="009D2FF2">
        <w:rPr>
          <w:snapToGrid w:val="0"/>
        </w:rPr>
        <w:t>; the CMIs, in their role as such, are acting solely as the capital market intermediaries of the Global Offering</w:t>
      </w:r>
      <w:r w:rsidRPr="009A09FD">
        <w:rPr>
          <w:snapToGrid w:val="0"/>
        </w:rPr>
        <w:t>.</w:t>
      </w:r>
      <w:bookmarkEnd w:id="239"/>
    </w:p>
    <w:p w:rsidR="001C5107" w:rsidRPr="009A09FD" w:rsidP="00DC5454" w14:paraId="32F7A4D8" w14:textId="65EFD47B">
      <w:pPr>
        <w:pStyle w:val="BodyText1"/>
        <w:rPr>
          <w:snapToGrid w:val="0"/>
        </w:rPr>
      </w:pPr>
      <w:r w:rsidRPr="009A09FD">
        <w:rPr>
          <w:snapToGrid w:val="0"/>
        </w:rPr>
        <w:t xml:space="preserve">Each of the </w:t>
      </w:r>
      <w:r w:rsidRPr="009A09FD">
        <w:rPr>
          <w:rFonts w:hint="eastAsia"/>
          <w:snapToGrid w:val="0"/>
        </w:rPr>
        <w:t>Warrantors</w:t>
      </w:r>
      <w:r w:rsidRPr="009A09FD">
        <w:rPr>
          <w:snapToGrid w:val="0"/>
        </w:rPr>
        <w:t xml:space="preserve"> further acknowledges that the International Underwriters, </w:t>
      </w:r>
      <w:r w:rsidRPr="009A09FD" w:rsidR="00AA1D69">
        <w:rPr>
          <w:snapToGrid w:val="0"/>
        </w:rPr>
        <w:t xml:space="preserve">the Joint Sponsors, </w:t>
      </w:r>
      <w:r w:rsidRPr="009A09FD">
        <w:rPr>
          <w:snapToGrid w:val="0"/>
        </w:rPr>
        <w:t xml:space="preserve">the </w:t>
      </w:r>
      <w:r w:rsidRPr="009A09FD" w:rsidR="00963690">
        <w:rPr>
          <w:snapToGrid w:val="0"/>
        </w:rPr>
        <w:t>Overall Coordinators</w:t>
      </w:r>
      <w:r w:rsidRPr="009A09FD">
        <w:rPr>
          <w:snapToGrid w:val="0"/>
        </w:rPr>
        <w:t xml:space="preserve">, </w:t>
      </w:r>
      <w:r w:rsidRPr="009A09FD" w:rsidR="00C936F9">
        <w:rPr>
          <w:snapToGrid w:val="0"/>
        </w:rPr>
        <w:t xml:space="preserve">the Sponsor-OC, </w:t>
      </w:r>
      <w:r w:rsidRPr="009A09FD">
        <w:rPr>
          <w:snapToGrid w:val="0"/>
        </w:rPr>
        <w:t xml:space="preserve">the Joint Global Coordinators, the Joint Bookrunners, the Joint Lead Managers and </w:t>
      </w:r>
      <w:r w:rsidRPr="009A09FD" w:rsidR="00AA1D69">
        <w:rPr>
          <w:snapToGrid w:val="0"/>
        </w:rPr>
        <w:t xml:space="preserve">the CMIs </w:t>
      </w:r>
      <w:r w:rsidRPr="009A09FD">
        <w:rPr>
          <w:snapToGrid w:val="0"/>
        </w:rPr>
        <w:t xml:space="preserve">are acting pursuant to a contractual relationship with the </w:t>
      </w:r>
      <w:r w:rsidRPr="009A09FD">
        <w:rPr>
          <w:rFonts w:hint="eastAsia"/>
          <w:snapToGrid w:val="0"/>
        </w:rPr>
        <w:t>Warrantors</w:t>
      </w:r>
      <w:r w:rsidRPr="009A09FD">
        <w:rPr>
          <w:snapToGrid w:val="0"/>
        </w:rPr>
        <w:t xml:space="preserve"> entered into on an arm’s length basis, and in no event do the parties intend that the International Underwriters, </w:t>
      </w:r>
      <w:r w:rsidRPr="009A09FD" w:rsidR="00F42A95">
        <w:rPr>
          <w:snapToGrid w:val="0"/>
        </w:rPr>
        <w:t xml:space="preserve">the Joint Sponsors, </w:t>
      </w:r>
      <w:r w:rsidRPr="009A09FD">
        <w:rPr>
          <w:snapToGrid w:val="0"/>
        </w:rPr>
        <w:t xml:space="preserve">the </w:t>
      </w:r>
      <w:r w:rsidRPr="009A09FD" w:rsidR="00A30B8B">
        <w:rPr>
          <w:snapToGrid w:val="0"/>
        </w:rPr>
        <w:t xml:space="preserve">Overall Coordinators, </w:t>
      </w:r>
      <w:r w:rsidRPr="009A09FD" w:rsidR="00C936F9">
        <w:rPr>
          <w:snapToGrid w:val="0"/>
        </w:rPr>
        <w:t xml:space="preserve">the Sponsor-OC, </w:t>
      </w:r>
      <w:r w:rsidRPr="009A09FD">
        <w:rPr>
          <w:snapToGrid w:val="0"/>
        </w:rPr>
        <w:t>the Joint Global Coordinators, the Joint Bookrunners, the Joint Lead Managers</w:t>
      </w:r>
      <w:r w:rsidRPr="009A09FD" w:rsidR="00F42A95">
        <w:rPr>
          <w:snapToGrid w:val="0"/>
        </w:rPr>
        <w:t xml:space="preserve"> and the CMIs</w:t>
      </w:r>
      <w:r w:rsidRPr="009A09FD" w:rsidR="00A17231">
        <w:rPr>
          <w:snapToGrid w:val="0"/>
        </w:rPr>
        <w:t>,</w:t>
      </w:r>
      <w:r w:rsidRPr="009A09FD">
        <w:rPr>
          <w:snapToGrid w:val="0"/>
        </w:rPr>
        <w:t xml:space="preserve"> </w:t>
      </w:r>
      <w:r w:rsidRPr="009A09FD" w:rsidR="00007301">
        <w:rPr>
          <w:snapToGrid w:val="0"/>
        </w:rPr>
        <w:t>or their respective directors, officers, employees and Affiliates</w:t>
      </w:r>
      <w:r w:rsidRPr="009A09FD">
        <w:rPr>
          <w:snapToGrid w:val="0"/>
        </w:rPr>
        <w:t xml:space="preserve">, as applicable, act or be responsible as a fiduciary or adviser to </w:t>
      </w:r>
      <w:r w:rsidRPr="009A09FD">
        <w:rPr>
          <w:rFonts w:hint="eastAsia"/>
          <w:snapToGrid w:val="0"/>
        </w:rPr>
        <w:t>any member of the Group</w:t>
      </w:r>
      <w:r w:rsidRPr="009A09FD">
        <w:rPr>
          <w:snapToGrid w:val="0"/>
        </w:rPr>
        <w:t xml:space="preserve"> </w:t>
      </w:r>
      <w:r w:rsidRPr="009A09FD">
        <w:rPr>
          <w:rFonts w:hint="eastAsia"/>
          <w:snapToGrid w:val="0"/>
        </w:rPr>
        <w:t xml:space="preserve">or </w:t>
      </w:r>
      <w:r w:rsidRPr="009A09FD">
        <w:rPr>
          <w:snapToGrid w:val="0"/>
        </w:rPr>
        <w:t xml:space="preserve">the </w:t>
      </w:r>
      <w:r w:rsidRPr="009A09FD">
        <w:rPr>
          <w:rFonts w:hint="eastAsia"/>
          <w:snapToGrid w:val="0"/>
        </w:rPr>
        <w:t>Warrantors</w:t>
      </w:r>
      <w:r w:rsidRPr="009A09FD">
        <w:rPr>
          <w:snapToGrid w:val="0"/>
        </w:rPr>
        <w:t xml:space="preserve">, their respective directors, management, shareholders or creditors or any other person in connection with any activity that the International Underwriters, </w:t>
      </w:r>
      <w:r w:rsidRPr="009A09FD" w:rsidR="000916F1">
        <w:rPr>
          <w:snapToGrid w:val="0"/>
        </w:rPr>
        <w:t xml:space="preserve">the Joint Sponsors, </w:t>
      </w:r>
      <w:r w:rsidRPr="009A09FD">
        <w:rPr>
          <w:snapToGrid w:val="0"/>
        </w:rPr>
        <w:t xml:space="preserve">the </w:t>
      </w:r>
      <w:r w:rsidRPr="009A09FD" w:rsidR="00392C71">
        <w:rPr>
          <w:snapToGrid w:val="0"/>
        </w:rPr>
        <w:t>Overall Coordinators</w:t>
      </w:r>
      <w:r w:rsidRPr="009A09FD">
        <w:rPr>
          <w:snapToGrid w:val="0"/>
        </w:rPr>
        <w:t xml:space="preserve">, </w:t>
      </w:r>
      <w:r w:rsidRPr="009A09FD" w:rsidR="00C936F9">
        <w:rPr>
          <w:snapToGrid w:val="0"/>
        </w:rPr>
        <w:t xml:space="preserve">the Sponsor-OC, </w:t>
      </w:r>
      <w:r w:rsidRPr="009A09FD">
        <w:rPr>
          <w:snapToGrid w:val="0"/>
        </w:rPr>
        <w:t xml:space="preserve">the Joint Global Coordinators, the Joint Bookrunners, the Joint Lead Managers or </w:t>
      </w:r>
      <w:r w:rsidRPr="009A09FD" w:rsidR="000916F1">
        <w:rPr>
          <w:snapToGrid w:val="0"/>
        </w:rPr>
        <w:t>the CMIs</w:t>
      </w:r>
      <w:r w:rsidRPr="009A09FD">
        <w:rPr>
          <w:snapToGrid w:val="0"/>
        </w:rPr>
        <w:t>, as applicable, may undertake or have undertaken in furtherance of the Global Offering or the purchase and sale of the Company’s securities or the listing of the Shares on the Stock Exchange, either before or after the date hereof.</w:t>
      </w:r>
    </w:p>
    <w:p w:rsidR="001C5107" w:rsidRPr="009A09FD" w:rsidP="00DC5454" w14:paraId="617BB621" w14:textId="76792A9C">
      <w:pPr>
        <w:pStyle w:val="BodyText1"/>
        <w:rPr>
          <w:snapToGrid w:val="0"/>
        </w:rPr>
      </w:pPr>
      <w:r w:rsidRPr="009A09FD">
        <w:rPr>
          <w:snapToGrid w:val="0"/>
        </w:rPr>
        <w:t xml:space="preserve">The International Underwriters, </w:t>
      </w:r>
      <w:r w:rsidRPr="009A09FD" w:rsidR="00A529EF">
        <w:rPr>
          <w:snapToGrid w:val="0"/>
        </w:rPr>
        <w:t xml:space="preserve">the Joint Sponsors, </w:t>
      </w:r>
      <w:r w:rsidRPr="009A09FD">
        <w:rPr>
          <w:snapToGrid w:val="0"/>
        </w:rPr>
        <w:t xml:space="preserve">the </w:t>
      </w:r>
      <w:r w:rsidRPr="009A09FD" w:rsidR="00302BA9">
        <w:rPr>
          <w:snapToGrid w:val="0"/>
        </w:rPr>
        <w:t>Overall Coordinators</w:t>
      </w:r>
      <w:r w:rsidRPr="009A09FD">
        <w:rPr>
          <w:snapToGrid w:val="0"/>
        </w:rPr>
        <w:t>,</w:t>
      </w:r>
      <w:r w:rsidRPr="009A09FD" w:rsidR="0086050B">
        <w:rPr>
          <w:snapToGrid w:val="0"/>
        </w:rPr>
        <w:t xml:space="preserve"> the Sponsor-OC, </w:t>
      </w:r>
      <w:r w:rsidRPr="009A09FD">
        <w:rPr>
          <w:snapToGrid w:val="0"/>
        </w:rPr>
        <w:t xml:space="preserve">the Joint Global Coordinators, the Joint Bookrunners, the Joint Lead Managers and </w:t>
      </w:r>
      <w:r w:rsidRPr="009A09FD" w:rsidR="00A529EF">
        <w:rPr>
          <w:snapToGrid w:val="0"/>
        </w:rPr>
        <w:t>the CMIs</w:t>
      </w:r>
      <w:r w:rsidRPr="009A09FD" w:rsidR="007447F4">
        <w:rPr>
          <w:snapToGrid w:val="0"/>
        </w:rPr>
        <w:t xml:space="preserve"> </w:t>
      </w:r>
      <w:r w:rsidRPr="009A09FD">
        <w:rPr>
          <w:snapToGrid w:val="0"/>
        </w:rPr>
        <w:t xml:space="preserve">hereby expressly disclaim any fiduciary or advisory or similar obligations to </w:t>
      </w:r>
      <w:r w:rsidRPr="009A09FD">
        <w:rPr>
          <w:rFonts w:hint="eastAsia"/>
          <w:snapToGrid w:val="0"/>
        </w:rPr>
        <w:t>any member of the Group</w:t>
      </w:r>
      <w:r w:rsidRPr="009A09FD">
        <w:rPr>
          <w:snapToGrid w:val="0"/>
        </w:rPr>
        <w:t xml:space="preserve"> </w:t>
      </w:r>
      <w:r w:rsidRPr="009A09FD">
        <w:rPr>
          <w:rFonts w:hint="eastAsia"/>
          <w:snapToGrid w:val="0"/>
        </w:rPr>
        <w:t xml:space="preserve">or </w:t>
      </w:r>
      <w:r w:rsidRPr="009A09FD">
        <w:rPr>
          <w:snapToGrid w:val="0"/>
        </w:rPr>
        <w:t xml:space="preserve">the </w:t>
      </w:r>
      <w:r w:rsidRPr="009A09FD">
        <w:rPr>
          <w:rFonts w:hint="eastAsia"/>
          <w:snapToGrid w:val="0"/>
        </w:rPr>
        <w:t>Warrantors</w:t>
      </w:r>
      <w:r w:rsidRPr="009A09FD">
        <w:rPr>
          <w:snapToGrid w:val="0"/>
        </w:rPr>
        <w:t xml:space="preserve">, either in connection with the transactions contemplated by this Agreement or otherwise by the Global Offering or the listing of the Shares on the Stock Exchange or any process or matters leading up to such transactions, and each of the </w:t>
      </w:r>
      <w:r w:rsidRPr="009A09FD">
        <w:rPr>
          <w:rFonts w:hint="eastAsia"/>
          <w:snapToGrid w:val="0"/>
        </w:rPr>
        <w:t>Warrantors</w:t>
      </w:r>
      <w:r w:rsidRPr="009A09FD">
        <w:rPr>
          <w:snapToGrid w:val="0"/>
        </w:rPr>
        <w:t xml:space="preserve"> hereby confirms its</w:t>
      </w:r>
      <w:r w:rsidRPr="009A09FD" w:rsidR="00023395">
        <w:rPr>
          <w:snapToGrid w:val="0"/>
        </w:rPr>
        <w:t>/his/her</w:t>
      </w:r>
      <w:r w:rsidRPr="009A09FD">
        <w:rPr>
          <w:snapToGrid w:val="0"/>
        </w:rPr>
        <w:t xml:space="preserve"> understanding and agreement to that effect.  The </w:t>
      </w:r>
      <w:r w:rsidRPr="009A09FD">
        <w:rPr>
          <w:rFonts w:hint="eastAsia"/>
          <w:snapToGrid w:val="0"/>
        </w:rPr>
        <w:t>Warrantors</w:t>
      </w:r>
      <w:r w:rsidRPr="009A09FD">
        <w:rPr>
          <w:snapToGrid w:val="0"/>
        </w:rPr>
        <w:t xml:space="preserve">, on the one hand, and the International Underwriters, </w:t>
      </w:r>
      <w:r w:rsidRPr="009A09FD" w:rsidR="009B39FB">
        <w:rPr>
          <w:snapToGrid w:val="0"/>
        </w:rPr>
        <w:t xml:space="preserve">the Joint Sponsors, </w:t>
      </w:r>
      <w:r w:rsidRPr="009A09FD">
        <w:rPr>
          <w:snapToGrid w:val="0"/>
        </w:rPr>
        <w:t xml:space="preserve">the </w:t>
      </w:r>
      <w:r w:rsidRPr="009A09FD" w:rsidR="005C2A68">
        <w:rPr>
          <w:snapToGrid w:val="0"/>
        </w:rPr>
        <w:t>Overall Coordinators</w:t>
      </w:r>
      <w:r w:rsidRPr="009A09FD">
        <w:rPr>
          <w:snapToGrid w:val="0"/>
        </w:rPr>
        <w:t>,</w:t>
      </w:r>
      <w:r w:rsidRPr="009A09FD" w:rsidR="0086050B">
        <w:rPr>
          <w:snapToGrid w:val="0"/>
        </w:rPr>
        <w:t xml:space="preserve"> the Sponsor-OC, </w:t>
      </w:r>
      <w:r w:rsidRPr="009A09FD">
        <w:rPr>
          <w:snapToGrid w:val="0"/>
        </w:rPr>
        <w:t xml:space="preserve">the Joint Global Coordinators, the Joint Bookrunners, the Joint Lead Managers or the </w:t>
      </w:r>
      <w:r w:rsidRPr="009A09FD" w:rsidR="00974295">
        <w:rPr>
          <w:snapToGrid w:val="0"/>
        </w:rPr>
        <w:t>CMIs</w:t>
      </w:r>
      <w:r w:rsidRPr="009A09FD">
        <w:rPr>
          <w:snapToGrid w:val="0"/>
        </w:rPr>
        <w:t xml:space="preserve">, as applicable, on the other hand, agree that they are each responsible for making their own independent judgments with respect to any such transactions and that any opinions or views expressed by the International Underwriters, </w:t>
      </w:r>
      <w:r w:rsidRPr="009A09FD" w:rsidR="00144306">
        <w:rPr>
          <w:snapToGrid w:val="0"/>
        </w:rPr>
        <w:t xml:space="preserve">the Joint Sponsors, </w:t>
      </w:r>
      <w:r w:rsidRPr="009A09FD">
        <w:rPr>
          <w:snapToGrid w:val="0"/>
        </w:rPr>
        <w:t xml:space="preserve">the </w:t>
      </w:r>
      <w:r w:rsidRPr="009A09FD" w:rsidR="00DA6A3D">
        <w:rPr>
          <w:snapToGrid w:val="0"/>
        </w:rPr>
        <w:t>Overall Coordinators</w:t>
      </w:r>
      <w:r w:rsidRPr="009A09FD">
        <w:rPr>
          <w:snapToGrid w:val="0"/>
        </w:rPr>
        <w:t>,</w:t>
      </w:r>
      <w:r w:rsidRPr="009A09FD" w:rsidR="0086050B">
        <w:rPr>
          <w:snapToGrid w:val="0"/>
        </w:rPr>
        <w:t xml:space="preserve"> the Sponsor-OC, </w:t>
      </w:r>
      <w:r w:rsidRPr="009A09FD">
        <w:rPr>
          <w:snapToGrid w:val="0"/>
        </w:rPr>
        <w:t xml:space="preserve">the Joint Global Coordinators, the Joint Bookrunners, the Joint Lead Managers or the </w:t>
      </w:r>
      <w:r w:rsidRPr="009A09FD" w:rsidR="00144306">
        <w:rPr>
          <w:snapToGrid w:val="0"/>
        </w:rPr>
        <w:t>CMIs</w:t>
      </w:r>
      <w:r w:rsidRPr="009A09FD">
        <w:rPr>
          <w:snapToGrid w:val="0"/>
        </w:rPr>
        <w:t xml:space="preserve">, as applicable, to the </w:t>
      </w:r>
      <w:r w:rsidRPr="009A09FD">
        <w:rPr>
          <w:rFonts w:hint="eastAsia"/>
          <w:snapToGrid w:val="0"/>
        </w:rPr>
        <w:t>Warrantors</w:t>
      </w:r>
      <w:r w:rsidRPr="009A09FD">
        <w:rPr>
          <w:snapToGrid w:val="0"/>
        </w:rPr>
        <w:t xml:space="preserve"> regarding such transactions, including, but not limited to, any opinions or views with respect to the price or market for the Shares, do not constitute advice or recommendations to the </w:t>
      </w:r>
      <w:r w:rsidRPr="009A09FD">
        <w:rPr>
          <w:rFonts w:hint="eastAsia"/>
          <w:snapToGrid w:val="0"/>
        </w:rPr>
        <w:t>Warrantors</w:t>
      </w:r>
      <w:r w:rsidRPr="009A09FD">
        <w:rPr>
          <w:snapToGrid w:val="0"/>
        </w:rPr>
        <w:t>.</w:t>
      </w:r>
    </w:p>
    <w:p w:rsidR="001C5107" w:rsidRPr="009A09FD" w:rsidP="00DC5454" w14:paraId="6206EAA6" w14:textId="30146B3B">
      <w:pPr>
        <w:pStyle w:val="BodyText1"/>
        <w:rPr>
          <w:snapToGrid w:val="0"/>
        </w:rPr>
      </w:pPr>
      <w:r w:rsidRPr="009A09FD">
        <w:rPr>
          <w:snapToGrid w:val="0"/>
        </w:rPr>
        <w:t xml:space="preserve">The </w:t>
      </w:r>
      <w:r w:rsidRPr="009A09FD">
        <w:rPr>
          <w:rFonts w:hint="eastAsia"/>
          <w:snapToGrid w:val="0"/>
        </w:rPr>
        <w:t>Warrantors</w:t>
      </w:r>
      <w:r w:rsidRPr="009A09FD">
        <w:rPr>
          <w:snapToGrid w:val="0"/>
        </w:rPr>
        <w:t xml:space="preserve">, on the one hand, and the International Underwriters, the </w:t>
      </w:r>
      <w:r w:rsidRPr="009A09FD" w:rsidR="00EC54E2">
        <w:rPr>
          <w:snapToGrid w:val="0"/>
        </w:rPr>
        <w:t>Overall Coordinators</w:t>
      </w:r>
      <w:r w:rsidRPr="009A09FD">
        <w:rPr>
          <w:snapToGrid w:val="0"/>
        </w:rPr>
        <w:t>, the Joint Global Coordinators, the Joint Bookrunners, the Joint Lead Managers</w:t>
      </w:r>
      <w:r w:rsidRPr="009A09FD" w:rsidR="003220A8">
        <w:rPr>
          <w:snapToGrid w:val="0"/>
        </w:rPr>
        <w:t>,</w:t>
      </w:r>
      <w:r w:rsidRPr="009A09FD">
        <w:rPr>
          <w:snapToGrid w:val="0"/>
        </w:rPr>
        <w:t xml:space="preserve"> the </w:t>
      </w:r>
      <w:r w:rsidRPr="009A09FD" w:rsidR="00EC54E2">
        <w:rPr>
          <w:snapToGrid w:val="0"/>
        </w:rPr>
        <w:t xml:space="preserve">Joint </w:t>
      </w:r>
      <w:r w:rsidRPr="009A09FD" w:rsidR="004307BB">
        <w:rPr>
          <w:snapToGrid w:val="0"/>
        </w:rPr>
        <w:t>Sponsor</w:t>
      </w:r>
      <w:r w:rsidRPr="009A09FD" w:rsidR="00EC54E2">
        <w:rPr>
          <w:snapToGrid w:val="0"/>
        </w:rPr>
        <w:t>s</w:t>
      </w:r>
      <w:r w:rsidRPr="009A09FD" w:rsidR="005569A8">
        <w:rPr>
          <w:snapToGrid w:val="0"/>
        </w:rPr>
        <w:t xml:space="preserve">, </w:t>
      </w:r>
      <w:r w:rsidRPr="009A09FD" w:rsidR="0086050B">
        <w:rPr>
          <w:snapToGrid w:val="0"/>
        </w:rPr>
        <w:t xml:space="preserve">the Sponsor-OC, </w:t>
      </w:r>
      <w:r w:rsidRPr="009A09FD" w:rsidR="005569A8">
        <w:rPr>
          <w:snapToGrid w:val="0"/>
        </w:rPr>
        <w:t>the CMIs</w:t>
      </w:r>
      <w:r w:rsidRPr="009A09FD" w:rsidR="009101B5">
        <w:rPr>
          <w:snapToGrid w:val="0"/>
        </w:rPr>
        <w:t xml:space="preserve"> and their respective directors, officers, employees and Affiliates</w:t>
      </w:r>
      <w:r w:rsidRPr="009A09FD">
        <w:rPr>
          <w:snapToGrid w:val="0"/>
        </w:rPr>
        <w:t xml:space="preserve">, as applicable, on the other hand, agree that the International Underwriters, the </w:t>
      </w:r>
      <w:r w:rsidRPr="009A09FD" w:rsidR="004D228C">
        <w:rPr>
          <w:snapToGrid w:val="0"/>
        </w:rPr>
        <w:t>Overall Coordinators</w:t>
      </w:r>
      <w:r w:rsidRPr="009A09FD">
        <w:rPr>
          <w:snapToGrid w:val="0"/>
        </w:rPr>
        <w:t>, the Joint Global Coordinators, the Joint Bookrunners, the Joint Lead Managers</w:t>
      </w:r>
      <w:r w:rsidRPr="009A09FD" w:rsidR="009E767E">
        <w:rPr>
          <w:snapToGrid w:val="0"/>
        </w:rPr>
        <w:t>,</w:t>
      </w:r>
      <w:r w:rsidRPr="009A09FD">
        <w:rPr>
          <w:snapToGrid w:val="0"/>
        </w:rPr>
        <w:t xml:space="preserve"> the </w:t>
      </w:r>
      <w:r w:rsidRPr="009A09FD" w:rsidR="003025BC">
        <w:rPr>
          <w:snapToGrid w:val="0"/>
        </w:rPr>
        <w:t xml:space="preserve">Joint </w:t>
      </w:r>
      <w:r w:rsidRPr="009A09FD" w:rsidR="004307BB">
        <w:rPr>
          <w:snapToGrid w:val="0"/>
        </w:rPr>
        <w:t>Sponsor</w:t>
      </w:r>
      <w:r w:rsidRPr="009A09FD" w:rsidR="003025BC">
        <w:rPr>
          <w:snapToGrid w:val="0"/>
        </w:rPr>
        <w:t>s</w:t>
      </w:r>
      <w:r w:rsidRPr="009A09FD" w:rsidR="009E767E">
        <w:rPr>
          <w:snapToGrid w:val="0"/>
        </w:rPr>
        <w:t xml:space="preserve">, </w:t>
      </w:r>
      <w:r w:rsidRPr="009A09FD" w:rsidR="0086050B">
        <w:rPr>
          <w:snapToGrid w:val="0"/>
        </w:rPr>
        <w:t xml:space="preserve">the Sponsor-OC, </w:t>
      </w:r>
      <w:r w:rsidRPr="009A09FD" w:rsidR="009E767E">
        <w:rPr>
          <w:snapToGrid w:val="0"/>
        </w:rPr>
        <w:t>the CMIs</w:t>
      </w:r>
      <w:r w:rsidRPr="009A09FD" w:rsidR="00731FEB">
        <w:rPr>
          <w:snapToGrid w:val="0"/>
        </w:rPr>
        <w:t xml:space="preserve"> and their respective directors, officers, employees and Affiliates</w:t>
      </w:r>
      <w:r w:rsidRPr="009A09FD">
        <w:rPr>
          <w:snapToGrid w:val="0"/>
        </w:rPr>
        <w:t xml:space="preserve">, as applicable, in their respective roles as such and with respect to transactions carried out at the request of and for the </w:t>
      </w:r>
      <w:r w:rsidRPr="009A09FD">
        <w:rPr>
          <w:rFonts w:hint="eastAsia"/>
          <w:snapToGrid w:val="0"/>
        </w:rPr>
        <w:t>Warrantors</w:t>
      </w:r>
      <w:r w:rsidRPr="009A09FD">
        <w:rPr>
          <w:snapToGrid w:val="0"/>
        </w:rPr>
        <w:t xml:space="preserve"> pursuant to their respective appointments as such, are </w:t>
      </w:r>
      <w:r w:rsidRPr="009A09FD" w:rsidR="00000793">
        <w:rPr>
          <w:snapToGrid w:val="0"/>
        </w:rPr>
        <w:t xml:space="preserve">acting solely as principal and </w:t>
      </w:r>
      <w:r w:rsidRPr="009A09FD">
        <w:rPr>
          <w:snapToGrid w:val="0"/>
        </w:rPr>
        <w:t xml:space="preserve">not </w:t>
      </w:r>
      <w:r w:rsidRPr="009A09FD" w:rsidR="00000793">
        <w:rPr>
          <w:snapToGrid w:val="0"/>
        </w:rPr>
        <w:t>the agent</w:t>
      </w:r>
      <w:r w:rsidRPr="009A09FD">
        <w:rPr>
          <w:snapToGrid w:val="0"/>
        </w:rPr>
        <w:t xml:space="preserve"> of </w:t>
      </w:r>
      <w:r w:rsidRPr="009A09FD">
        <w:rPr>
          <w:rFonts w:hint="eastAsia"/>
          <w:snapToGrid w:val="0"/>
        </w:rPr>
        <w:t>any member of the Group</w:t>
      </w:r>
      <w:r w:rsidRPr="009A09FD">
        <w:rPr>
          <w:snapToGrid w:val="0"/>
        </w:rPr>
        <w:t xml:space="preserve"> </w:t>
      </w:r>
      <w:r w:rsidRPr="009A09FD">
        <w:rPr>
          <w:rFonts w:hint="eastAsia"/>
          <w:snapToGrid w:val="0"/>
        </w:rPr>
        <w:t xml:space="preserve">or </w:t>
      </w:r>
      <w:r w:rsidRPr="009A09FD">
        <w:rPr>
          <w:snapToGrid w:val="0"/>
        </w:rPr>
        <w:t>the Warrantors</w:t>
      </w:r>
      <w:r w:rsidRPr="009A09FD" w:rsidR="00040F90">
        <w:rPr>
          <w:snapToGrid w:val="0"/>
        </w:rPr>
        <w:t xml:space="preserve"> (except and solely, with respect to the International Underwriters, for the limited purposes </w:t>
      </w:r>
      <w:r w:rsidRPr="009A09FD" w:rsidR="00E433C0">
        <w:rPr>
          <w:snapToGrid w:val="0"/>
        </w:rPr>
        <w:t xml:space="preserve">of procuring purchasers for the International Offer Shares </w:t>
      </w:r>
      <w:r w:rsidRPr="009A09FD" w:rsidR="00040F90">
        <w:rPr>
          <w:snapToGrid w:val="0"/>
        </w:rPr>
        <w:t>set forth in Section 1(a) hereof, and, with respect to the Settlement Agent, for the limited purposes of making payment on behalf of the Company of the Trading Fee</w:t>
      </w:r>
      <w:r w:rsidR="00D6519D">
        <w:rPr>
          <w:snapToGrid w:val="0"/>
        </w:rPr>
        <w:t>, the SFC Transaction Levy</w:t>
      </w:r>
      <w:r w:rsidRPr="009A09FD" w:rsidR="00040F90">
        <w:rPr>
          <w:snapToGrid w:val="0"/>
        </w:rPr>
        <w:t xml:space="preserve"> and the </w:t>
      </w:r>
      <w:r w:rsidR="00D6519D">
        <w:rPr>
          <w:snapToGrid w:val="0"/>
        </w:rPr>
        <w:t xml:space="preserve">AFRC </w:t>
      </w:r>
      <w:r w:rsidRPr="009A09FD" w:rsidR="00040F90">
        <w:rPr>
          <w:snapToGrid w:val="0"/>
        </w:rPr>
        <w:t>Transaction Levy as set forth in Section 2(e) hereof),</w:t>
      </w:r>
      <w:r w:rsidRPr="009A09FD">
        <w:rPr>
          <w:snapToGrid w:val="0"/>
        </w:rPr>
        <w:t xml:space="preserve"> nor the adviser of </w:t>
      </w:r>
      <w:r w:rsidRPr="009A09FD">
        <w:rPr>
          <w:rFonts w:hint="eastAsia"/>
          <w:snapToGrid w:val="0"/>
        </w:rPr>
        <w:t>any member of the Group</w:t>
      </w:r>
      <w:r w:rsidRPr="009A09FD">
        <w:rPr>
          <w:snapToGrid w:val="0"/>
        </w:rPr>
        <w:t xml:space="preserve"> </w:t>
      </w:r>
      <w:r w:rsidRPr="009A09FD">
        <w:rPr>
          <w:rFonts w:hint="eastAsia"/>
          <w:snapToGrid w:val="0"/>
        </w:rPr>
        <w:t>or the Warrantors,</w:t>
      </w:r>
      <w:r w:rsidRPr="009A09FD">
        <w:rPr>
          <w:snapToGrid w:val="0"/>
        </w:rPr>
        <w:t xml:space="preserve"> and none of the International Underwriters, the </w:t>
      </w:r>
      <w:r w:rsidRPr="009A09FD" w:rsidR="001944E2">
        <w:rPr>
          <w:snapToGrid w:val="0"/>
        </w:rPr>
        <w:t>Overall Coordinators</w:t>
      </w:r>
      <w:r w:rsidRPr="009A09FD">
        <w:rPr>
          <w:snapToGrid w:val="0"/>
        </w:rPr>
        <w:t>, the Joint Global Coordinators, the Joint Bookrunners, the Joint Lead Managers</w:t>
      </w:r>
      <w:r w:rsidRPr="009A09FD" w:rsidR="00FB67C2">
        <w:rPr>
          <w:snapToGrid w:val="0"/>
        </w:rPr>
        <w:t>, the CMIs</w:t>
      </w:r>
      <w:r w:rsidRPr="009A09FD" w:rsidR="0086050B">
        <w:rPr>
          <w:snapToGrid w:val="0"/>
        </w:rPr>
        <w:t>,</w:t>
      </w:r>
      <w:r w:rsidRPr="009A09FD">
        <w:rPr>
          <w:snapToGrid w:val="0"/>
        </w:rPr>
        <w:t xml:space="preserve"> </w:t>
      </w:r>
      <w:r w:rsidRPr="009A09FD" w:rsidR="0086050B">
        <w:rPr>
          <w:snapToGrid w:val="0"/>
        </w:rPr>
        <w:t xml:space="preserve">the Sponsor-OC, </w:t>
      </w:r>
      <w:r w:rsidRPr="009A09FD">
        <w:rPr>
          <w:snapToGrid w:val="0"/>
        </w:rPr>
        <w:t xml:space="preserve">or the </w:t>
      </w:r>
      <w:r w:rsidRPr="009A09FD" w:rsidR="00094B80">
        <w:rPr>
          <w:snapToGrid w:val="0"/>
        </w:rPr>
        <w:t xml:space="preserve">Joint </w:t>
      </w:r>
      <w:r w:rsidRPr="009A09FD" w:rsidR="004307BB">
        <w:rPr>
          <w:snapToGrid w:val="0"/>
        </w:rPr>
        <w:t>Sponsor</w:t>
      </w:r>
      <w:r w:rsidRPr="009A09FD" w:rsidR="00094B80">
        <w:rPr>
          <w:snapToGrid w:val="0"/>
        </w:rPr>
        <w:t>s</w:t>
      </w:r>
      <w:r w:rsidRPr="009A09FD">
        <w:rPr>
          <w:snapToGrid w:val="0"/>
        </w:rPr>
        <w:t xml:space="preserve"> has assumed, and will assume, any fiduciary or advisory or similar responsibility in favor of </w:t>
      </w:r>
      <w:r w:rsidRPr="009A09FD">
        <w:rPr>
          <w:rFonts w:hint="eastAsia"/>
          <w:snapToGrid w:val="0"/>
        </w:rPr>
        <w:t>any member of the Group</w:t>
      </w:r>
      <w:r w:rsidRPr="009A09FD">
        <w:rPr>
          <w:snapToGrid w:val="0"/>
        </w:rPr>
        <w:t xml:space="preserve"> </w:t>
      </w:r>
      <w:r w:rsidRPr="009A09FD">
        <w:rPr>
          <w:rFonts w:hint="eastAsia"/>
          <w:snapToGrid w:val="0"/>
        </w:rPr>
        <w:t xml:space="preserve">or </w:t>
      </w:r>
      <w:r w:rsidRPr="009A09FD">
        <w:rPr>
          <w:snapToGrid w:val="0"/>
        </w:rPr>
        <w:t xml:space="preserve">the </w:t>
      </w:r>
      <w:r w:rsidRPr="009A09FD">
        <w:rPr>
          <w:rFonts w:hint="eastAsia"/>
          <w:snapToGrid w:val="0"/>
        </w:rPr>
        <w:t>Warrantors</w:t>
      </w:r>
      <w:r w:rsidRPr="009A09FD">
        <w:rPr>
          <w:snapToGrid w:val="0"/>
        </w:rPr>
        <w:t xml:space="preserve"> with respect to the transactions contemplated by this Agreement or otherwise by the Global Offering or the listing of the Shares on the Stock Exchange or any process or matters leading up to such transactions (irrespective of whether any of the International Underwriters,</w:t>
      </w:r>
      <w:r w:rsidRPr="009A09FD" w:rsidR="00DA1F40">
        <w:rPr>
          <w:snapToGrid w:val="0"/>
        </w:rPr>
        <w:t xml:space="preserve"> the Overall Coordinators,</w:t>
      </w:r>
      <w:r w:rsidRPr="009A09FD">
        <w:rPr>
          <w:snapToGrid w:val="0"/>
        </w:rPr>
        <w:t xml:space="preserve"> </w:t>
      </w:r>
      <w:r w:rsidRPr="009A09FD">
        <w:rPr>
          <w:rFonts w:hint="eastAsia"/>
          <w:snapToGrid w:val="0"/>
        </w:rPr>
        <w:t>t</w:t>
      </w:r>
      <w:r w:rsidRPr="009A09FD">
        <w:rPr>
          <w:snapToGrid w:val="0"/>
        </w:rPr>
        <w:t>he Joint Global Coordinators, the Joint Bookrunners, the Joint Lead Managers</w:t>
      </w:r>
      <w:r w:rsidRPr="009A09FD" w:rsidR="002453BF">
        <w:rPr>
          <w:snapToGrid w:val="0"/>
        </w:rPr>
        <w:t>, the CMIs</w:t>
      </w:r>
      <w:r w:rsidRPr="009A09FD" w:rsidR="0086050B">
        <w:rPr>
          <w:snapToGrid w:val="0"/>
        </w:rPr>
        <w:t>, the Sponsor-OC,</w:t>
      </w:r>
      <w:r w:rsidRPr="009A09FD">
        <w:rPr>
          <w:snapToGrid w:val="0"/>
        </w:rPr>
        <w:t xml:space="preserve"> or the </w:t>
      </w:r>
      <w:r w:rsidRPr="009A09FD" w:rsidR="003A67C9">
        <w:rPr>
          <w:snapToGrid w:val="0"/>
        </w:rPr>
        <w:t xml:space="preserve">Joint </w:t>
      </w:r>
      <w:r w:rsidRPr="009A09FD" w:rsidR="004307BB">
        <w:rPr>
          <w:snapToGrid w:val="0"/>
        </w:rPr>
        <w:t>Sponsor</w:t>
      </w:r>
      <w:r w:rsidRPr="009A09FD" w:rsidR="003A67C9">
        <w:rPr>
          <w:snapToGrid w:val="0"/>
        </w:rPr>
        <w:t>s</w:t>
      </w:r>
      <w:r w:rsidRPr="009A09FD">
        <w:rPr>
          <w:snapToGrid w:val="0"/>
        </w:rPr>
        <w:t xml:space="preserve"> has advised or is currently advising the </w:t>
      </w:r>
      <w:r w:rsidRPr="009A09FD">
        <w:rPr>
          <w:rFonts w:hint="eastAsia"/>
          <w:snapToGrid w:val="0"/>
        </w:rPr>
        <w:t>Warrantors</w:t>
      </w:r>
      <w:r w:rsidRPr="009A09FD">
        <w:rPr>
          <w:snapToGrid w:val="0"/>
        </w:rPr>
        <w:t xml:space="preserve"> on other matters).</w:t>
      </w:r>
    </w:p>
    <w:p w:rsidR="001C5107" w:rsidRPr="009A09FD" w:rsidP="00DC5454" w14:paraId="3E64DA44" w14:textId="2E70D32E">
      <w:pPr>
        <w:pStyle w:val="BodyText1"/>
        <w:rPr>
          <w:snapToGrid w:val="0"/>
        </w:rPr>
      </w:pPr>
      <w:r w:rsidRPr="009A09FD">
        <w:rPr>
          <w:snapToGrid w:val="0"/>
        </w:rPr>
        <w:t xml:space="preserve">Each of the </w:t>
      </w:r>
      <w:r w:rsidRPr="009A09FD">
        <w:rPr>
          <w:rFonts w:hint="eastAsia"/>
          <w:snapToGrid w:val="0"/>
        </w:rPr>
        <w:t>Warrantors</w:t>
      </w:r>
      <w:r w:rsidRPr="009A09FD">
        <w:rPr>
          <w:snapToGrid w:val="0"/>
        </w:rPr>
        <w:t xml:space="preserve"> further acknowledges and agrees that the International Underwriters, the </w:t>
      </w:r>
      <w:r w:rsidRPr="009A09FD" w:rsidR="0004313D">
        <w:rPr>
          <w:snapToGrid w:val="0"/>
        </w:rPr>
        <w:t>Overall Coordinators</w:t>
      </w:r>
      <w:r w:rsidRPr="009A09FD">
        <w:rPr>
          <w:snapToGrid w:val="0"/>
        </w:rPr>
        <w:t>, the Joint Global Coordinators, the Joint Bookrunners, the Joint Lead Managers</w:t>
      </w:r>
      <w:r w:rsidRPr="009A09FD" w:rsidR="00E166F8">
        <w:rPr>
          <w:snapToGrid w:val="0"/>
        </w:rPr>
        <w:t>, the CMIs</w:t>
      </w:r>
      <w:r w:rsidRPr="009A09FD" w:rsidR="003220A8">
        <w:rPr>
          <w:snapToGrid w:val="0"/>
        </w:rPr>
        <w:t>,</w:t>
      </w:r>
      <w:r w:rsidRPr="009A09FD">
        <w:rPr>
          <w:snapToGrid w:val="0"/>
        </w:rPr>
        <w:t xml:space="preserve"> the </w:t>
      </w:r>
      <w:r w:rsidRPr="009A09FD" w:rsidR="00960510">
        <w:rPr>
          <w:snapToGrid w:val="0"/>
        </w:rPr>
        <w:t xml:space="preserve">Joint </w:t>
      </w:r>
      <w:r w:rsidRPr="009A09FD" w:rsidR="004307BB">
        <w:rPr>
          <w:snapToGrid w:val="0"/>
        </w:rPr>
        <w:t>Sponsor</w:t>
      </w:r>
      <w:r w:rsidRPr="009A09FD" w:rsidR="00960510">
        <w:rPr>
          <w:snapToGrid w:val="0"/>
        </w:rPr>
        <w:t>s</w:t>
      </w:r>
      <w:r w:rsidRPr="009A09FD" w:rsidR="0086050B">
        <w:rPr>
          <w:snapToGrid w:val="0"/>
        </w:rPr>
        <w:t xml:space="preserve">, the Sponsor-OC, </w:t>
      </w:r>
      <w:r w:rsidRPr="009A09FD">
        <w:rPr>
          <w:snapToGrid w:val="0"/>
        </w:rPr>
        <w:t xml:space="preserve"> </w:t>
      </w:r>
      <w:r w:rsidRPr="009A09FD" w:rsidR="00C430C9">
        <w:rPr>
          <w:snapToGrid w:val="0"/>
        </w:rPr>
        <w:t xml:space="preserve">and their respective directors, officers, employees and Affiliates </w:t>
      </w:r>
      <w:r w:rsidRPr="009A09FD">
        <w:rPr>
          <w:snapToGrid w:val="0"/>
        </w:rPr>
        <w:t xml:space="preserve">are not advising the </w:t>
      </w:r>
      <w:r w:rsidRPr="009A09FD">
        <w:rPr>
          <w:rFonts w:hint="eastAsia"/>
          <w:snapToGrid w:val="0"/>
        </w:rPr>
        <w:t>Warrantors</w:t>
      </w:r>
      <w:r w:rsidRPr="009A09FD">
        <w:rPr>
          <w:snapToGrid w:val="0"/>
        </w:rPr>
        <w:t>, their respective</w:t>
      </w:r>
      <w:r w:rsidRPr="009A09FD" w:rsidR="00F1510C">
        <w:rPr>
          <w:snapToGrid w:val="0"/>
        </w:rPr>
        <w:t xml:space="preserve"> Affiliates,</w:t>
      </w:r>
      <w:r w:rsidRPr="009A09FD">
        <w:rPr>
          <w:snapToGrid w:val="0"/>
        </w:rPr>
        <w:t xml:space="preserve"> directors, </w:t>
      </w:r>
      <w:r w:rsidRPr="009A09FD" w:rsidR="00F8505C">
        <w:rPr>
          <w:snapToGrid w:val="0"/>
        </w:rPr>
        <w:t xml:space="preserve">officers, employees, </w:t>
      </w:r>
      <w:r w:rsidRPr="009A09FD">
        <w:rPr>
          <w:snapToGrid w:val="0"/>
        </w:rPr>
        <w:t xml:space="preserve">management or shareholders or any other person as to any legal, tax, investment, accounting or regulatory matters </w:t>
      </w:r>
      <w:r w:rsidRPr="009A09FD" w:rsidR="00FD5236">
        <w:rPr>
          <w:snapToGrid w:val="0"/>
        </w:rPr>
        <w:t xml:space="preserve">(except for, with respect to the Joint Sponsors, any advice to the Company on matters in relation to the listing application as prescribed by and solely to the extent as required under the Listing Rules in the capacity of the Joint Sponsors in connection with the proposed listing of the Company) </w:t>
      </w:r>
      <w:r w:rsidRPr="009A09FD">
        <w:rPr>
          <w:snapToGrid w:val="0"/>
        </w:rPr>
        <w:t xml:space="preserve">in any jurisdiction.  Each of the </w:t>
      </w:r>
      <w:r w:rsidRPr="009A09FD">
        <w:rPr>
          <w:rFonts w:hint="eastAsia"/>
          <w:snapToGrid w:val="0"/>
        </w:rPr>
        <w:t>Warrantors</w:t>
      </w:r>
      <w:r w:rsidRPr="009A09FD">
        <w:rPr>
          <w:snapToGrid w:val="0"/>
        </w:rPr>
        <w:t xml:space="preserve"> shall consult with its own advisors concerning such matters and shall be responsible for making its own independent investigation and appraisal of the transactions contemplated by this Agreement, and none of the International Underwriters, the </w:t>
      </w:r>
      <w:r w:rsidRPr="009A09FD" w:rsidR="003677F9">
        <w:rPr>
          <w:snapToGrid w:val="0"/>
        </w:rPr>
        <w:t>Overall Coordinators</w:t>
      </w:r>
      <w:r w:rsidRPr="009A09FD">
        <w:rPr>
          <w:snapToGrid w:val="0"/>
        </w:rPr>
        <w:t>, the Joint Global Coordinators, the Joint Bookrunners, the Joint Lead Managers</w:t>
      </w:r>
      <w:r w:rsidRPr="009A09FD" w:rsidR="00F47FBD">
        <w:rPr>
          <w:snapToGrid w:val="0"/>
        </w:rPr>
        <w:t>, the CMIs</w:t>
      </w:r>
      <w:r w:rsidRPr="009A09FD" w:rsidR="0086050B">
        <w:rPr>
          <w:snapToGrid w:val="0"/>
        </w:rPr>
        <w:t>, the Sponsor-OC,</w:t>
      </w:r>
      <w:r w:rsidRPr="009A09FD">
        <w:rPr>
          <w:snapToGrid w:val="0"/>
        </w:rPr>
        <w:t xml:space="preserve"> and the </w:t>
      </w:r>
      <w:r w:rsidRPr="009A09FD" w:rsidR="007C6DCB">
        <w:rPr>
          <w:snapToGrid w:val="0"/>
        </w:rPr>
        <w:t xml:space="preserve">Joint </w:t>
      </w:r>
      <w:r w:rsidRPr="009A09FD" w:rsidR="004307BB">
        <w:rPr>
          <w:snapToGrid w:val="0"/>
        </w:rPr>
        <w:t>Sponsor</w:t>
      </w:r>
      <w:r w:rsidRPr="009A09FD" w:rsidR="007C6DCB">
        <w:rPr>
          <w:snapToGrid w:val="0"/>
        </w:rPr>
        <w:t>s</w:t>
      </w:r>
      <w:r w:rsidRPr="009A09FD">
        <w:rPr>
          <w:snapToGrid w:val="0"/>
        </w:rPr>
        <w:t xml:space="preserve"> and their respective directors, officers</w:t>
      </w:r>
      <w:r w:rsidRPr="009A09FD" w:rsidR="00A11161">
        <w:rPr>
          <w:snapToGrid w:val="0"/>
        </w:rPr>
        <w:t>, employees</w:t>
      </w:r>
      <w:r w:rsidRPr="009A09FD">
        <w:rPr>
          <w:snapToGrid w:val="0"/>
        </w:rPr>
        <w:t xml:space="preserve"> and Affiliates shall have any responsibility or liability to </w:t>
      </w:r>
      <w:r w:rsidRPr="009A09FD">
        <w:rPr>
          <w:rFonts w:hint="eastAsia"/>
          <w:snapToGrid w:val="0"/>
        </w:rPr>
        <w:t>the Warrantors</w:t>
      </w:r>
      <w:r w:rsidRPr="009A09FD">
        <w:rPr>
          <w:snapToGrid w:val="0"/>
        </w:rPr>
        <w:t xml:space="preserve"> with respect thereto.  Any review by the International Underwriters, the </w:t>
      </w:r>
      <w:r w:rsidRPr="009A09FD" w:rsidR="007C6DCB">
        <w:rPr>
          <w:snapToGrid w:val="0"/>
        </w:rPr>
        <w:t>Overall Coordinators</w:t>
      </w:r>
      <w:r w:rsidRPr="009A09FD">
        <w:rPr>
          <w:snapToGrid w:val="0"/>
        </w:rPr>
        <w:t>, the Joint Global Coordinators, the Joint Bookrunners, the Joint Lead Managers</w:t>
      </w:r>
      <w:r w:rsidRPr="009A09FD" w:rsidR="00557785">
        <w:rPr>
          <w:snapToGrid w:val="0"/>
        </w:rPr>
        <w:t>, the CMIs</w:t>
      </w:r>
      <w:r w:rsidRPr="009A09FD" w:rsidR="0086050B">
        <w:rPr>
          <w:snapToGrid w:val="0"/>
        </w:rPr>
        <w:t>, the Sponsor-OC</w:t>
      </w:r>
      <w:r w:rsidRPr="009A09FD" w:rsidR="005539B3">
        <w:rPr>
          <w:snapToGrid w:val="0"/>
        </w:rPr>
        <w:t>s</w:t>
      </w:r>
      <w:r w:rsidRPr="009A09FD">
        <w:rPr>
          <w:snapToGrid w:val="0"/>
        </w:rPr>
        <w:t xml:space="preserve"> and the </w:t>
      </w:r>
      <w:r w:rsidRPr="009A09FD" w:rsidR="00D90383">
        <w:rPr>
          <w:snapToGrid w:val="0"/>
        </w:rPr>
        <w:t xml:space="preserve">Joint </w:t>
      </w:r>
      <w:r w:rsidRPr="009A09FD" w:rsidR="004307BB">
        <w:rPr>
          <w:snapToGrid w:val="0"/>
        </w:rPr>
        <w:t>Sponsor</w:t>
      </w:r>
      <w:r w:rsidRPr="009A09FD" w:rsidR="00D90383">
        <w:rPr>
          <w:snapToGrid w:val="0"/>
        </w:rPr>
        <w:t>s</w:t>
      </w:r>
      <w:r w:rsidRPr="009A09FD">
        <w:rPr>
          <w:snapToGrid w:val="0"/>
        </w:rPr>
        <w:t xml:space="preserve"> of the Company, the transactions contemplated by this Agreement or other matters relating thereto shall be performed solely for the benefit of the International Underwriters, the </w:t>
      </w:r>
      <w:r w:rsidRPr="009A09FD" w:rsidR="00EE0A0D">
        <w:rPr>
          <w:snapToGrid w:val="0"/>
        </w:rPr>
        <w:t>Overall Coordinators</w:t>
      </w:r>
      <w:r w:rsidRPr="009A09FD">
        <w:rPr>
          <w:snapToGrid w:val="0"/>
        </w:rPr>
        <w:t>, the Joint Global Coordinators, the Joint Bookrunners, the Joint Lead Managers</w:t>
      </w:r>
      <w:r w:rsidRPr="009A09FD" w:rsidR="00557785">
        <w:rPr>
          <w:snapToGrid w:val="0"/>
        </w:rPr>
        <w:t>, the CMIs</w:t>
      </w:r>
      <w:r w:rsidRPr="009A09FD" w:rsidR="0086050B">
        <w:rPr>
          <w:snapToGrid w:val="0"/>
        </w:rPr>
        <w:t>,</w:t>
      </w:r>
      <w:r w:rsidRPr="009A09FD">
        <w:rPr>
          <w:snapToGrid w:val="0"/>
        </w:rPr>
        <w:t xml:space="preserve"> </w:t>
      </w:r>
      <w:r w:rsidRPr="009A09FD" w:rsidR="0086050B">
        <w:rPr>
          <w:snapToGrid w:val="0"/>
        </w:rPr>
        <w:t xml:space="preserve">the Sponsor-OC, </w:t>
      </w:r>
      <w:r w:rsidRPr="009A09FD">
        <w:rPr>
          <w:snapToGrid w:val="0"/>
        </w:rPr>
        <w:t xml:space="preserve">and the </w:t>
      </w:r>
      <w:r w:rsidRPr="009A09FD" w:rsidR="00EE0A0D">
        <w:rPr>
          <w:snapToGrid w:val="0"/>
        </w:rPr>
        <w:t xml:space="preserve">Joint </w:t>
      </w:r>
      <w:r w:rsidRPr="009A09FD" w:rsidR="004307BB">
        <w:rPr>
          <w:snapToGrid w:val="0"/>
        </w:rPr>
        <w:t>Sponsor</w:t>
      </w:r>
      <w:r w:rsidRPr="009A09FD" w:rsidR="00EE0A0D">
        <w:rPr>
          <w:snapToGrid w:val="0"/>
        </w:rPr>
        <w:t>s</w:t>
      </w:r>
      <w:r w:rsidRPr="009A09FD">
        <w:rPr>
          <w:snapToGrid w:val="0"/>
        </w:rPr>
        <w:t xml:space="preserve"> and shall be not be on behalf of the </w:t>
      </w:r>
      <w:r w:rsidRPr="009A09FD">
        <w:rPr>
          <w:rFonts w:hint="eastAsia"/>
          <w:snapToGrid w:val="0"/>
        </w:rPr>
        <w:t>Warrantors</w:t>
      </w:r>
      <w:r w:rsidRPr="009A09FD">
        <w:rPr>
          <w:snapToGrid w:val="0"/>
        </w:rPr>
        <w:t>.</w:t>
      </w:r>
    </w:p>
    <w:p w:rsidR="001C5107" w:rsidRPr="009A09FD" w:rsidP="00DC5454" w14:paraId="3E163520" w14:textId="4255EEAD">
      <w:pPr>
        <w:pStyle w:val="BodyText1"/>
        <w:rPr>
          <w:snapToGrid w:val="0"/>
        </w:rPr>
      </w:pPr>
      <w:r w:rsidRPr="009A09FD">
        <w:rPr>
          <w:snapToGrid w:val="0"/>
        </w:rPr>
        <w:t xml:space="preserve">Each of the </w:t>
      </w:r>
      <w:r w:rsidRPr="009A09FD">
        <w:rPr>
          <w:rFonts w:hint="eastAsia"/>
          <w:snapToGrid w:val="0"/>
        </w:rPr>
        <w:t>Warrantors</w:t>
      </w:r>
      <w:r w:rsidRPr="009A09FD">
        <w:rPr>
          <w:snapToGrid w:val="0"/>
        </w:rPr>
        <w:t xml:space="preserve"> further acknowledges that the International Underwriters, the </w:t>
      </w:r>
      <w:r w:rsidRPr="009A09FD" w:rsidR="007F0D7A">
        <w:rPr>
          <w:snapToGrid w:val="0"/>
        </w:rPr>
        <w:t>Overall Coordinators</w:t>
      </w:r>
      <w:r w:rsidRPr="009A09FD">
        <w:rPr>
          <w:snapToGrid w:val="0"/>
        </w:rPr>
        <w:t>, the Joint Global Coordinators, the Joint Bookrunners, the Joint Lead Managers</w:t>
      </w:r>
      <w:r w:rsidRPr="009A09FD" w:rsidR="002A1F05">
        <w:rPr>
          <w:snapToGrid w:val="0"/>
        </w:rPr>
        <w:t>, the CMIs</w:t>
      </w:r>
      <w:r w:rsidRPr="009A09FD" w:rsidR="00CC4E12">
        <w:rPr>
          <w:snapToGrid w:val="0"/>
        </w:rPr>
        <w:t>,</w:t>
      </w:r>
      <w:r w:rsidRPr="009A09FD">
        <w:rPr>
          <w:snapToGrid w:val="0"/>
        </w:rPr>
        <w:t xml:space="preserve"> the </w:t>
      </w:r>
      <w:r w:rsidRPr="009A09FD" w:rsidR="007F0D7A">
        <w:rPr>
          <w:snapToGrid w:val="0"/>
        </w:rPr>
        <w:t xml:space="preserve">Joint </w:t>
      </w:r>
      <w:r w:rsidRPr="009A09FD" w:rsidR="004307BB">
        <w:rPr>
          <w:snapToGrid w:val="0"/>
        </w:rPr>
        <w:t>Sponsor</w:t>
      </w:r>
      <w:r w:rsidRPr="009A09FD" w:rsidR="007F0D7A">
        <w:rPr>
          <w:snapToGrid w:val="0"/>
        </w:rPr>
        <w:t>s</w:t>
      </w:r>
      <w:r w:rsidRPr="009A09FD" w:rsidR="0086050B">
        <w:rPr>
          <w:snapToGrid w:val="0"/>
        </w:rPr>
        <w:t>, the Sponsor-OC,</w:t>
      </w:r>
      <w:r w:rsidRPr="009A09FD">
        <w:rPr>
          <w:snapToGrid w:val="0"/>
        </w:rPr>
        <w:t xml:space="preserve"> and their respective</w:t>
      </w:r>
      <w:r w:rsidRPr="009A09FD" w:rsidR="00611D10">
        <w:rPr>
          <w:snapToGrid w:val="0"/>
        </w:rPr>
        <w:t xml:space="preserve"> directors, officers, employees and</w:t>
      </w:r>
      <w:r w:rsidRPr="009A09FD">
        <w:rPr>
          <w:snapToGrid w:val="0"/>
        </w:rPr>
        <w:t xml:space="preserve"> Affiliates may be engaged in a broad range of transactions that involve interests that differ from those of the </w:t>
      </w:r>
      <w:r w:rsidRPr="009A09FD">
        <w:rPr>
          <w:rFonts w:hint="eastAsia"/>
          <w:snapToGrid w:val="0"/>
        </w:rPr>
        <w:t>Warrantors</w:t>
      </w:r>
      <w:r w:rsidRPr="009A09FD">
        <w:rPr>
          <w:snapToGrid w:val="0"/>
        </w:rPr>
        <w:t>.</w:t>
      </w:r>
    </w:p>
    <w:p w:rsidR="001C5107" w:rsidRPr="009A09FD" w:rsidP="00DC5454" w14:paraId="7500DEF8" w14:textId="082BF971">
      <w:pPr>
        <w:pStyle w:val="BodyText1"/>
        <w:rPr>
          <w:snapToGrid w:val="0"/>
        </w:rPr>
      </w:pPr>
      <w:r w:rsidRPr="009A09FD">
        <w:rPr>
          <w:snapToGrid w:val="0"/>
        </w:rPr>
        <w:t xml:space="preserve">Each of the </w:t>
      </w:r>
      <w:r w:rsidRPr="009A09FD">
        <w:rPr>
          <w:rFonts w:hint="eastAsia"/>
          <w:snapToGrid w:val="0"/>
        </w:rPr>
        <w:t>Warrantors</w:t>
      </w:r>
      <w:r w:rsidRPr="009A09FD">
        <w:rPr>
          <w:snapToGrid w:val="0"/>
        </w:rPr>
        <w:t xml:space="preserve"> hereby waives and releases, to the fullest extent permitted by law, any claims that the </w:t>
      </w:r>
      <w:r w:rsidRPr="009A09FD">
        <w:rPr>
          <w:rFonts w:hint="eastAsia"/>
          <w:snapToGrid w:val="0"/>
        </w:rPr>
        <w:t>Warrantors</w:t>
      </w:r>
      <w:r w:rsidRPr="009A09FD">
        <w:rPr>
          <w:snapToGrid w:val="0"/>
        </w:rPr>
        <w:t xml:space="preserve"> may have against the International Underwriters, the </w:t>
      </w:r>
      <w:r w:rsidRPr="009A09FD" w:rsidR="0028011E">
        <w:rPr>
          <w:snapToGrid w:val="0"/>
        </w:rPr>
        <w:t>Overall Coordinators</w:t>
      </w:r>
      <w:r w:rsidRPr="009A09FD">
        <w:rPr>
          <w:snapToGrid w:val="0"/>
        </w:rPr>
        <w:t>, the Joint Global Coordinators, the Joint Bookrunners, the Joint Lead Managers</w:t>
      </w:r>
      <w:r w:rsidRPr="009A09FD" w:rsidR="009941CD">
        <w:rPr>
          <w:snapToGrid w:val="0"/>
        </w:rPr>
        <w:t>, the CMIs</w:t>
      </w:r>
      <w:r w:rsidRPr="009A09FD" w:rsidR="000546E4">
        <w:rPr>
          <w:snapToGrid w:val="0"/>
        </w:rPr>
        <w:t>,</w:t>
      </w:r>
      <w:r w:rsidRPr="009A09FD">
        <w:rPr>
          <w:snapToGrid w:val="0"/>
        </w:rPr>
        <w:t xml:space="preserve"> the </w:t>
      </w:r>
      <w:r w:rsidRPr="009A09FD" w:rsidR="00395E32">
        <w:rPr>
          <w:snapToGrid w:val="0"/>
        </w:rPr>
        <w:t xml:space="preserve">Joint </w:t>
      </w:r>
      <w:r w:rsidRPr="009A09FD" w:rsidR="004307BB">
        <w:rPr>
          <w:snapToGrid w:val="0"/>
        </w:rPr>
        <w:t>Sponsor</w:t>
      </w:r>
      <w:r w:rsidRPr="009A09FD" w:rsidR="00395E32">
        <w:rPr>
          <w:snapToGrid w:val="0"/>
        </w:rPr>
        <w:t>s</w:t>
      </w:r>
      <w:r w:rsidRPr="009A09FD" w:rsidR="0086050B">
        <w:rPr>
          <w:snapToGrid w:val="0"/>
        </w:rPr>
        <w:t>, the Sponsor-OC</w:t>
      </w:r>
      <w:r w:rsidRPr="009A09FD" w:rsidR="005539B3">
        <w:rPr>
          <w:snapToGrid w:val="0"/>
        </w:rPr>
        <w:t>s</w:t>
      </w:r>
      <w:r w:rsidRPr="009A09FD">
        <w:rPr>
          <w:snapToGrid w:val="0"/>
        </w:rPr>
        <w:t xml:space="preserve"> </w:t>
      </w:r>
      <w:r w:rsidRPr="009A09FD" w:rsidR="000546E4">
        <w:rPr>
          <w:snapToGrid w:val="0"/>
        </w:rPr>
        <w:t xml:space="preserve">and their respective directors, officers, employees and Affiliates </w:t>
      </w:r>
      <w:r w:rsidRPr="009A09FD">
        <w:rPr>
          <w:snapToGrid w:val="0"/>
        </w:rPr>
        <w:t xml:space="preserve">with respect to any breach or alleged breach of any fiduciary, advisory or similar duty to the </w:t>
      </w:r>
      <w:r w:rsidRPr="009A09FD">
        <w:rPr>
          <w:rFonts w:hint="eastAsia"/>
          <w:snapToGrid w:val="0"/>
        </w:rPr>
        <w:t>Warrantors</w:t>
      </w:r>
      <w:r w:rsidRPr="009A09FD">
        <w:rPr>
          <w:snapToGrid w:val="0"/>
        </w:rPr>
        <w:t xml:space="preserve"> in connection with the transactions contemplated by this Agreement or otherwise by the Global Offering or the listing of the Shares on the Stock Exchange or any process or matters leading up to such transactions.</w:t>
      </w:r>
    </w:p>
    <w:p w:rsidR="001C5107" w:rsidRPr="009A09FD" w:rsidP="00DC5454" w14:paraId="3D76C1D6" w14:textId="05915D9C">
      <w:pPr>
        <w:pStyle w:val="BodyText1"/>
        <w:rPr>
          <w:b/>
          <w:caps/>
          <w:snapToGrid w:val="0"/>
        </w:rPr>
      </w:pPr>
      <w:bookmarkStart w:id="240" w:name="_Ref367265704"/>
      <w:r w:rsidRPr="009A09FD">
        <w:rPr>
          <w:snapToGrid w:val="0"/>
        </w:rPr>
        <w:t xml:space="preserve">Notwithstanding anything in this Agreement, none of the International Underwriters, the </w:t>
      </w:r>
      <w:r w:rsidRPr="009A09FD" w:rsidR="00F27099">
        <w:rPr>
          <w:snapToGrid w:val="0"/>
        </w:rPr>
        <w:t>Overall Coordinators</w:t>
      </w:r>
      <w:r w:rsidRPr="009A09FD">
        <w:rPr>
          <w:snapToGrid w:val="0"/>
        </w:rPr>
        <w:t>, the Joint Global Coordinators, the Joint Bookrunners, the Joint Lead Managers</w:t>
      </w:r>
      <w:r w:rsidRPr="009A09FD" w:rsidR="008137EF">
        <w:rPr>
          <w:snapToGrid w:val="0"/>
        </w:rPr>
        <w:t>, the CMIs</w:t>
      </w:r>
      <w:r w:rsidRPr="009A09FD" w:rsidR="0086050B">
        <w:rPr>
          <w:snapToGrid w:val="0"/>
        </w:rPr>
        <w:t>, the Sponsor-OC</w:t>
      </w:r>
      <w:r w:rsidRPr="009A09FD" w:rsidR="005539B3">
        <w:rPr>
          <w:snapToGrid w:val="0"/>
        </w:rPr>
        <w:t>s</w:t>
      </w:r>
      <w:r w:rsidRPr="009A09FD">
        <w:rPr>
          <w:snapToGrid w:val="0"/>
        </w:rPr>
        <w:t xml:space="preserve"> and the </w:t>
      </w:r>
      <w:r w:rsidRPr="009A09FD" w:rsidR="005B2519">
        <w:rPr>
          <w:snapToGrid w:val="0"/>
        </w:rPr>
        <w:t xml:space="preserve">Joint </w:t>
      </w:r>
      <w:r w:rsidRPr="009A09FD" w:rsidR="004307BB">
        <w:rPr>
          <w:snapToGrid w:val="0"/>
        </w:rPr>
        <w:t>Sponsor</w:t>
      </w:r>
      <w:r w:rsidRPr="009A09FD" w:rsidR="005B2519">
        <w:rPr>
          <w:snapToGrid w:val="0"/>
        </w:rPr>
        <w:t>s</w:t>
      </w:r>
      <w:r w:rsidRPr="009A09FD">
        <w:rPr>
          <w:snapToGrid w:val="0"/>
        </w:rPr>
        <w:t xml:space="preserve"> </w:t>
      </w:r>
      <w:r w:rsidRPr="009A09FD" w:rsidR="00F5423B">
        <w:rPr>
          <w:snapToGrid w:val="0"/>
        </w:rPr>
        <w:t xml:space="preserve">or their respective directors, officers, employees and Affiliates </w:t>
      </w:r>
      <w:r w:rsidRPr="009A09FD">
        <w:rPr>
          <w:snapToGrid w:val="0"/>
        </w:rPr>
        <w:t xml:space="preserve">and any other Indemnified Party shall have any liability whatsoever to the </w:t>
      </w:r>
      <w:r w:rsidRPr="009A09FD">
        <w:rPr>
          <w:rFonts w:hint="eastAsia"/>
          <w:snapToGrid w:val="0"/>
        </w:rPr>
        <w:t>Warrantors</w:t>
      </w:r>
      <w:r w:rsidRPr="009A09FD">
        <w:rPr>
          <w:snapToGrid w:val="0"/>
        </w:rPr>
        <w:t xml:space="preserve"> or any other person in respect of any alleged insufficiency of the Offer Price or any dealing price of the Offer Shares (it being acknowledged by the parties that the </w:t>
      </w:r>
      <w:r w:rsidRPr="009A09FD">
        <w:rPr>
          <w:rFonts w:hint="eastAsia"/>
          <w:snapToGrid w:val="0"/>
        </w:rPr>
        <w:t>Warrantors</w:t>
      </w:r>
      <w:r w:rsidRPr="009A09FD">
        <w:rPr>
          <w:snapToGrid w:val="0"/>
        </w:rPr>
        <w:t xml:space="preserve"> is solely responsible in this regard).</w:t>
      </w:r>
      <w:bookmarkEnd w:id="240"/>
    </w:p>
    <w:p w:rsidR="001C5107" w:rsidRPr="009A09FD" w:rsidP="00DC5454" w14:paraId="0FF6FE65" w14:textId="77777777">
      <w:pPr>
        <w:pStyle w:val="Heading1"/>
        <w:rPr>
          <w:snapToGrid w:val="0"/>
        </w:rPr>
      </w:pPr>
      <w:bookmarkStart w:id="241" w:name="_Toc517409051"/>
      <w:bookmarkStart w:id="242" w:name="_Toc72862718"/>
      <w:bookmarkStart w:id="243" w:name="_Ref367265705"/>
      <w:r w:rsidRPr="009A09FD">
        <w:rPr>
          <w:snapToGrid w:val="0"/>
        </w:rPr>
        <w:t>Time of the Essence</w:t>
      </w:r>
      <w:bookmarkEnd w:id="241"/>
      <w:bookmarkEnd w:id="242"/>
    </w:p>
    <w:p w:rsidR="001C5107" w:rsidRPr="009A09FD" w:rsidP="00DC5454" w14:paraId="118A1F64" w14:textId="77777777">
      <w:pPr>
        <w:pStyle w:val="BodyText1"/>
        <w:rPr>
          <w:snapToGrid w:val="0"/>
        </w:rPr>
      </w:pPr>
      <w:r w:rsidRPr="009A09FD">
        <w:rPr>
          <w:snapToGrid w:val="0"/>
        </w:rPr>
        <w:t>Time shall be of the essence of this Agreement.</w:t>
      </w:r>
      <w:bookmarkEnd w:id="243"/>
    </w:p>
    <w:p w:rsidR="001C5107" w:rsidRPr="009A09FD" w:rsidP="00DC5454" w14:paraId="7AE309BB" w14:textId="77777777">
      <w:pPr>
        <w:pStyle w:val="Heading1"/>
        <w:rPr>
          <w:snapToGrid w:val="0"/>
        </w:rPr>
      </w:pPr>
      <w:bookmarkStart w:id="244" w:name="_Toc517409052"/>
      <w:bookmarkStart w:id="245" w:name="_Toc72862719"/>
      <w:bookmarkStart w:id="246" w:name="_Ref367265706"/>
      <w:r w:rsidRPr="009A09FD">
        <w:rPr>
          <w:snapToGrid w:val="0"/>
        </w:rPr>
        <w:t>Counterparts</w:t>
      </w:r>
      <w:bookmarkEnd w:id="244"/>
      <w:bookmarkEnd w:id="245"/>
    </w:p>
    <w:p w:rsidR="001C5107" w:rsidRPr="009A09FD" w:rsidP="00DC5454" w14:paraId="72F932EE" w14:textId="06C929C7">
      <w:pPr>
        <w:pStyle w:val="BodyText1"/>
        <w:rPr>
          <w:snapToGrid w:val="0"/>
        </w:rPr>
      </w:pPr>
      <w:r w:rsidRPr="009A09FD">
        <w:rPr>
          <w:snapToGrid w:val="0"/>
        </w:rPr>
        <w:t>This Agreement may be signed by the parties hereto in one or more counterparts which together shall constitute one and the same agreement among the parties hereto.</w:t>
      </w:r>
      <w:bookmarkEnd w:id="246"/>
      <w:r w:rsidRPr="009A09FD" w:rsidR="00E1157C">
        <w:rPr>
          <w:snapToGrid w:val="0"/>
        </w:rPr>
        <w:t xml:space="preserve"> Delivery of an executed counterpart signature page of this Agreement by e-mail (in PDF format) or facsimile shall be as effective as delivery of a manually executed counterpart of this Agreement. This Agreement may be executed by electronic signature.</w:t>
      </w:r>
    </w:p>
    <w:p w:rsidR="00E26710" w:rsidRPr="009A09FD" w:rsidP="00DC5454" w14:paraId="1C4BB271" w14:textId="55863B05">
      <w:pPr>
        <w:pStyle w:val="Heading1"/>
        <w:rPr>
          <w:snapToGrid w:val="0"/>
        </w:rPr>
      </w:pPr>
      <w:bookmarkStart w:id="247" w:name="_Toc517409053"/>
      <w:bookmarkStart w:id="248" w:name="_Toc72862720"/>
      <w:bookmarkStart w:id="249" w:name="_Ref367265707"/>
      <w:r w:rsidRPr="009A09FD">
        <w:rPr>
          <w:snapToGrid w:val="0"/>
        </w:rPr>
        <w:t>Entire Agreement And Variation</w:t>
      </w:r>
    </w:p>
    <w:p w:rsidR="005B629D" w:rsidRPr="009A09FD" w:rsidP="00DC5454" w14:paraId="6076B516" w14:textId="0188AA45">
      <w:pPr>
        <w:pStyle w:val="BodyText1"/>
        <w:rPr>
          <w:snapToGrid w:val="0"/>
        </w:rPr>
      </w:pPr>
      <w:r w:rsidRPr="009A09FD">
        <w:rPr>
          <w:snapToGrid w:val="0"/>
        </w:rPr>
        <w:t xml:space="preserve">This Agreement, </w:t>
      </w:r>
      <w:r w:rsidRPr="009A09FD" w:rsidR="00EA7B78">
        <w:rPr>
          <w:snapToGrid w:val="0"/>
        </w:rPr>
        <w:t xml:space="preserve">and (in the case of the Joint Sponsors) also together with </w:t>
      </w:r>
      <w:r w:rsidRPr="009A09FD" w:rsidR="00A37BF1">
        <w:rPr>
          <w:snapToGrid w:val="0"/>
        </w:rPr>
        <w:t>Sponsors and Sponsor-OC Mandate</w:t>
      </w:r>
      <w:r w:rsidRPr="009A09FD" w:rsidR="00EA7B78">
        <w:rPr>
          <w:snapToGrid w:val="0"/>
        </w:rPr>
        <w:t>, and (in the case of the Overall Coordinators</w:t>
      </w:r>
      <w:r w:rsidRPr="009A09FD" w:rsidR="001D0226">
        <w:rPr>
          <w:snapToGrid w:val="0"/>
        </w:rPr>
        <w:t xml:space="preserve"> other than the Joint Sponsors</w:t>
      </w:r>
      <w:r w:rsidRPr="009A09FD" w:rsidR="00EA7B78">
        <w:rPr>
          <w:snapToGrid w:val="0"/>
        </w:rPr>
        <w:t xml:space="preserve">) also together with their respective </w:t>
      </w:r>
      <w:r w:rsidRPr="009A09FD" w:rsidR="001D0226">
        <w:rPr>
          <w:snapToGrid w:val="0"/>
        </w:rPr>
        <w:t>OC</w:t>
      </w:r>
      <w:r w:rsidRPr="009A09FD" w:rsidR="00F1510C">
        <w:rPr>
          <w:snapToGrid w:val="0"/>
        </w:rPr>
        <w:t xml:space="preserve"> Mandate</w:t>
      </w:r>
      <w:r w:rsidRPr="009A09FD" w:rsidR="00EA7B78">
        <w:rPr>
          <w:snapToGrid w:val="0"/>
        </w:rPr>
        <w:t>,</w:t>
      </w:r>
      <w:r w:rsidRPr="009A09FD" w:rsidR="00CB364F">
        <w:rPr>
          <w:snapToGrid w:val="0"/>
        </w:rPr>
        <w:t xml:space="preserve"> and (in the case of the CMIs other than the Joint Sponsors and the Overall Coordinators) also together with their respective CMI Mandate,</w:t>
      </w:r>
      <w:r w:rsidRPr="009A09FD" w:rsidR="00EA7B78">
        <w:rPr>
          <w:snapToGrid w:val="0"/>
        </w:rPr>
        <w:t xml:space="preserve"> </w:t>
      </w:r>
      <w:r w:rsidRPr="009A09FD">
        <w:rPr>
          <w:snapToGrid w:val="0"/>
        </w:rPr>
        <w:t>constitutes the entire agreement between the Warrantors</w:t>
      </w:r>
      <w:r w:rsidRPr="009A09FD" w:rsidR="001F15BB">
        <w:rPr>
          <w:snapToGrid w:val="0"/>
        </w:rPr>
        <w:t>,</w:t>
      </w:r>
      <w:r w:rsidRPr="009A09FD" w:rsidR="00B85FC4">
        <w:rPr>
          <w:snapToGrid w:val="0"/>
        </w:rPr>
        <w:t xml:space="preserve"> </w:t>
      </w:r>
      <w:r w:rsidRPr="009A09FD" w:rsidR="00EA7B78">
        <w:rPr>
          <w:snapToGrid w:val="0"/>
        </w:rPr>
        <w:t xml:space="preserve">the Joint Sponsors, </w:t>
      </w:r>
      <w:r w:rsidRPr="009A09FD" w:rsidR="00B85FC4">
        <w:rPr>
          <w:snapToGrid w:val="0"/>
        </w:rPr>
        <w:t>the Overall Coordinators,</w:t>
      </w:r>
      <w:r w:rsidRPr="009A09FD" w:rsidR="0086050B">
        <w:rPr>
          <w:snapToGrid w:val="0"/>
        </w:rPr>
        <w:t xml:space="preserve"> the Sponsor-OC,</w:t>
      </w:r>
      <w:r w:rsidRPr="009A09FD">
        <w:rPr>
          <w:snapToGrid w:val="0"/>
        </w:rPr>
        <w:t xml:space="preserve"> the Joint Global Coordinators</w:t>
      </w:r>
      <w:r w:rsidRPr="009A09FD" w:rsidR="00EA7B78">
        <w:rPr>
          <w:snapToGrid w:val="0"/>
        </w:rPr>
        <w:t>, the Joint Bookrunners, the Joint Lead Managers, the CMIs</w:t>
      </w:r>
      <w:r w:rsidRPr="009A09FD">
        <w:rPr>
          <w:snapToGrid w:val="0"/>
        </w:rPr>
        <w:t xml:space="preserve"> and the International Underwriters relating to the underwriting of the International Offering </w:t>
      </w:r>
      <w:r w:rsidRPr="009A09FD" w:rsidR="003741EE">
        <w:rPr>
          <w:snapToGrid w:val="0"/>
        </w:rPr>
        <w:t>and</w:t>
      </w:r>
      <w:r w:rsidRPr="009A09FD" w:rsidR="00EA7B78">
        <w:rPr>
          <w:snapToGrid w:val="0"/>
        </w:rPr>
        <w:t xml:space="preserve"> supersedes all previous and extinguishes any prior drafts, agreements, undertakings, understanding, representations, warranties and arrangements of any nature whatsoever, whether or not in writing, relating to such matters as have been regulated by the provisions of this Agreement</w:t>
      </w:r>
      <w:r w:rsidRPr="009A09FD" w:rsidR="00044396">
        <w:rPr>
          <w:snapToGrid w:val="0"/>
        </w:rPr>
        <w:t>,</w:t>
      </w:r>
      <w:r w:rsidRPr="009A09FD" w:rsidR="00EA7B78">
        <w:rPr>
          <w:snapToGrid w:val="0"/>
        </w:rPr>
        <w:t xml:space="preserve"> </w:t>
      </w:r>
      <w:r w:rsidRPr="009A09FD">
        <w:rPr>
          <w:snapToGrid w:val="0"/>
        </w:rPr>
        <w:t>which shall cease to have any further force or effect and no party hereto has entered into this Agreement in reliance upon any representation, warranty, agreement or undertaking which is not set out or referred to in this Agreement.</w:t>
      </w:r>
      <w:r w:rsidR="008C65BE">
        <w:rPr>
          <w:snapToGrid w:val="0"/>
        </w:rPr>
        <w:t xml:space="preserve"> In</w:t>
      </w:r>
      <w:r w:rsidRPr="008C65BE" w:rsidR="008C65BE">
        <w:rPr>
          <w:snapToGrid w:val="0"/>
        </w:rPr>
        <w:t xml:space="preserve"> the event that there are any inconsistencies between this Agreement and </w:t>
      </w:r>
      <w:r w:rsidR="008C65BE">
        <w:rPr>
          <w:snapToGrid w:val="0"/>
        </w:rPr>
        <w:t>any agreements relating to the underwriting of the International Offering</w:t>
      </w:r>
      <w:r w:rsidRPr="008C65BE" w:rsidR="008C65BE">
        <w:rPr>
          <w:snapToGrid w:val="0"/>
        </w:rPr>
        <w:t>, this Agreement shall prevail.</w:t>
      </w:r>
    </w:p>
    <w:p w:rsidR="005B629D" w:rsidRPr="009A09FD" w:rsidP="00DC5454" w14:paraId="2E5599AD" w14:textId="450DEE2D">
      <w:pPr>
        <w:pStyle w:val="BodyText1"/>
        <w:rPr>
          <w:snapToGrid w:val="0"/>
        </w:rPr>
      </w:pPr>
      <w:r w:rsidRPr="009A09FD">
        <w:rPr>
          <w:snapToGrid w:val="0"/>
        </w:rPr>
        <w:t>No variation of this Agreement shall be valid unless it is in writing and signed by or on behalf of each of the parties hereto. The expression “variation” shall include any variation, supplement, deletion or replacement however effected.</w:t>
      </w:r>
    </w:p>
    <w:p w:rsidR="001C5107" w:rsidRPr="009A09FD" w:rsidP="00DC5454" w14:paraId="5D23D928" w14:textId="1007F4EC">
      <w:pPr>
        <w:pStyle w:val="Heading1"/>
        <w:rPr>
          <w:snapToGrid w:val="0"/>
        </w:rPr>
      </w:pPr>
      <w:r w:rsidRPr="009A09FD">
        <w:rPr>
          <w:snapToGrid w:val="0"/>
        </w:rPr>
        <w:t>Parties at Interest Successors and Assigns</w:t>
      </w:r>
      <w:bookmarkEnd w:id="247"/>
      <w:bookmarkEnd w:id="248"/>
    </w:p>
    <w:p w:rsidR="001C5107" w:rsidRPr="009A09FD" w:rsidP="00DC5454" w14:paraId="434EC7BF" w14:textId="3B9BF178">
      <w:pPr>
        <w:pStyle w:val="BodyText1"/>
        <w:rPr>
          <w:snapToGrid w:val="0"/>
        </w:rPr>
      </w:pPr>
      <w:r w:rsidRPr="009A09FD">
        <w:rPr>
          <w:snapToGrid w:val="0"/>
        </w:rPr>
        <w:t xml:space="preserve">This Agreement herein set forth has been and is made solely for the benefit of the </w:t>
      </w:r>
      <w:r w:rsidRPr="009A09FD" w:rsidR="00D21E04">
        <w:rPr>
          <w:snapToGrid w:val="0"/>
        </w:rPr>
        <w:t>Overall Coordinators</w:t>
      </w:r>
      <w:r w:rsidRPr="009A09FD">
        <w:rPr>
          <w:snapToGrid w:val="0"/>
        </w:rPr>
        <w:t xml:space="preserve">, </w:t>
      </w:r>
      <w:r w:rsidRPr="009A09FD" w:rsidR="00A70A35">
        <w:rPr>
          <w:snapToGrid w:val="0"/>
        </w:rPr>
        <w:t xml:space="preserve">the </w:t>
      </w:r>
      <w:r w:rsidRPr="009A09FD" w:rsidR="00525E62">
        <w:rPr>
          <w:snapToGrid w:val="0"/>
        </w:rPr>
        <w:t xml:space="preserve">Joint </w:t>
      </w:r>
      <w:r w:rsidRPr="009A09FD" w:rsidR="00A70A35">
        <w:rPr>
          <w:snapToGrid w:val="0"/>
        </w:rPr>
        <w:t>Sponsor</w:t>
      </w:r>
      <w:r w:rsidRPr="009A09FD" w:rsidR="00525E62">
        <w:rPr>
          <w:snapToGrid w:val="0"/>
        </w:rPr>
        <w:t>s</w:t>
      </w:r>
      <w:r w:rsidRPr="009A09FD" w:rsidR="00A70A35">
        <w:rPr>
          <w:snapToGrid w:val="0"/>
        </w:rPr>
        <w:t>,</w:t>
      </w:r>
      <w:r w:rsidRPr="009A09FD" w:rsidR="0086050B">
        <w:rPr>
          <w:snapToGrid w:val="0"/>
        </w:rPr>
        <w:t xml:space="preserve"> the Sponsor-OC,</w:t>
      </w:r>
      <w:r w:rsidRPr="009A09FD" w:rsidR="00A70A35">
        <w:rPr>
          <w:snapToGrid w:val="0"/>
        </w:rPr>
        <w:t xml:space="preserve"> </w:t>
      </w:r>
      <w:r w:rsidRPr="009A09FD">
        <w:rPr>
          <w:snapToGrid w:val="0"/>
        </w:rPr>
        <w:t>the Joint Global Coordinators, the Joint Bookrunners, the International Underwriters,</w:t>
      </w:r>
      <w:r w:rsidRPr="009A09FD" w:rsidR="00BC395E">
        <w:rPr>
          <w:snapToGrid w:val="0"/>
        </w:rPr>
        <w:t xml:space="preserve"> </w:t>
      </w:r>
      <w:r w:rsidRPr="009A09FD" w:rsidR="0086050B">
        <w:rPr>
          <w:snapToGrid w:val="0"/>
        </w:rPr>
        <w:t>t</w:t>
      </w:r>
      <w:r w:rsidRPr="009A09FD" w:rsidR="00BC395E">
        <w:rPr>
          <w:snapToGrid w:val="0"/>
        </w:rPr>
        <w:t>he CMIs,</w:t>
      </w:r>
      <w:r w:rsidRPr="009A09FD">
        <w:rPr>
          <w:snapToGrid w:val="0"/>
        </w:rPr>
        <w:t xml:space="preserve"> the Company,</w:t>
      </w:r>
      <w:r w:rsidRPr="009A09FD" w:rsidR="00D001A6">
        <w:rPr>
          <w:snapToGrid w:val="0"/>
        </w:rPr>
        <w:t xml:space="preserve"> </w:t>
      </w:r>
      <w:r w:rsidRPr="009A09FD" w:rsidR="00D67EE9">
        <w:rPr>
          <w:snapToGrid w:val="0"/>
        </w:rPr>
        <w:t xml:space="preserve">the </w:t>
      </w:r>
      <w:r w:rsidRPr="009A09FD" w:rsidR="00F1510C">
        <w:rPr>
          <w:snapToGrid w:val="0"/>
        </w:rPr>
        <w:t>Warranting Shareholders</w:t>
      </w:r>
      <w:r w:rsidRPr="009A09FD">
        <w:rPr>
          <w:snapToGrid w:val="0"/>
        </w:rPr>
        <w:t xml:space="preserve"> and, to the extent provided in </w:t>
      </w:r>
      <w:bookmarkStart w:id="250" w:name="DocXTextRef151"/>
      <w:r w:rsidRPr="009A09FD">
        <w:rPr>
          <w:snapToGrid w:val="0"/>
        </w:rPr>
        <w:t xml:space="preserve">Section </w:t>
      </w:r>
      <w:bookmarkEnd w:id="250"/>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hereof, the controlling persons, partners, directors, officers, members, employees, associates, agents and Affiliates referred to in such section of, and each person who controls </w:t>
      </w:r>
      <w:r w:rsidRPr="009A09FD" w:rsidR="002A37BD">
        <w:rPr>
          <w:snapToGrid w:val="0"/>
        </w:rPr>
        <w:t>any</w:t>
      </w:r>
      <w:r w:rsidRPr="009A09FD" w:rsidR="00D15219">
        <w:rPr>
          <w:snapToGrid w:val="0"/>
        </w:rPr>
        <w:t xml:space="preserve"> </w:t>
      </w:r>
      <w:r w:rsidRPr="009A09FD" w:rsidR="002A37BD">
        <w:rPr>
          <w:snapToGrid w:val="0"/>
        </w:rPr>
        <w:t>Overall Coordinator</w:t>
      </w:r>
      <w:r w:rsidRPr="009A09FD">
        <w:rPr>
          <w:snapToGrid w:val="0"/>
        </w:rPr>
        <w:t>,</w:t>
      </w:r>
      <w:r w:rsidRPr="009A09FD" w:rsidR="00C76097">
        <w:rPr>
          <w:snapToGrid w:val="0"/>
        </w:rPr>
        <w:t xml:space="preserve"> </w:t>
      </w:r>
      <w:r w:rsidRPr="009A09FD" w:rsidR="0063355B">
        <w:rPr>
          <w:snapToGrid w:val="0"/>
        </w:rPr>
        <w:t xml:space="preserve">Joint Sponsor, </w:t>
      </w:r>
      <w:r w:rsidRPr="009A09FD" w:rsidR="0086050B">
        <w:rPr>
          <w:snapToGrid w:val="0"/>
        </w:rPr>
        <w:t xml:space="preserve">Sponsor-OC, </w:t>
      </w:r>
      <w:r w:rsidRPr="009A09FD">
        <w:rPr>
          <w:snapToGrid w:val="0"/>
        </w:rPr>
        <w:t>Joint Global Coordinator, Joint Bookrunner</w:t>
      </w:r>
      <w:r w:rsidRPr="009A09FD" w:rsidR="00730D92">
        <w:rPr>
          <w:snapToGrid w:val="0"/>
        </w:rPr>
        <w:t>,</w:t>
      </w:r>
      <w:r w:rsidRPr="009A09FD">
        <w:rPr>
          <w:snapToGrid w:val="0"/>
        </w:rPr>
        <w:t xml:space="preserve"> International Underwriter</w:t>
      </w:r>
      <w:r w:rsidRPr="009A09FD" w:rsidR="00730D92">
        <w:rPr>
          <w:snapToGrid w:val="0"/>
        </w:rPr>
        <w:t xml:space="preserve"> or the CMI</w:t>
      </w:r>
      <w:r w:rsidRPr="009A09FD" w:rsidR="009579B1">
        <w:rPr>
          <w:snapToGrid w:val="0"/>
        </w:rPr>
        <w:t xml:space="preserve"> or the Company</w:t>
      </w:r>
      <w:r w:rsidRPr="009A09FD">
        <w:rPr>
          <w:snapToGrid w:val="0"/>
        </w:rPr>
        <w:t>, and their respective successors, assigns, heirs, personal representatives, executors and administrators.  No other person, partnership, association or corporation (including a purchaser, as such purchaser, from any of the International Underwriters) shall acquire or have any right under or by virtue of this Agreement.  No subsequent purchaser of Offer Shares from any International Underwriter shall be deemed to be a successor by reason merely of such purchase</w:t>
      </w:r>
      <w:bookmarkEnd w:id="249"/>
      <w:r w:rsidRPr="009A09FD">
        <w:rPr>
          <w:snapToGrid w:val="0"/>
        </w:rPr>
        <w:t xml:space="preserve">.  No party hereto shall assign or transfer all or any part of any benefit of, or interest or right in, this Agreement, or any benefit, interest, right or obligation arising under this Agreement without the consent of the other parties hereto, </w:t>
      </w:r>
      <w:r w:rsidRPr="009A09FD">
        <w:rPr>
          <w:b/>
          <w:snapToGrid w:val="0"/>
        </w:rPr>
        <w:t>provided that</w:t>
      </w:r>
      <w:r w:rsidRPr="009A09FD">
        <w:rPr>
          <w:snapToGrid w:val="0"/>
        </w:rPr>
        <w:t xml:space="preserve"> the International Underwriters, the </w:t>
      </w:r>
      <w:r w:rsidRPr="009A09FD" w:rsidR="009A3808">
        <w:rPr>
          <w:snapToGrid w:val="0"/>
        </w:rPr>
        <w:t>Overall Coordinators</w:t>
      </w:r>
      <w:r w:rsidRPr="009A09FD">
        <w:rPr>
          <w:snapToGrid w:val="0"/>
        </w:rPr>
        <w:t>, the Joint Global Coordinators, Joint Bookrunners, the Joint Lead Managers</w:t>
      </w:r>
      <w:r w:rsidRPr="009A09FD" w:rsidR="00743616">
        <w:rPr>
          <w:snapToGrid w:val="0"/>
        </w:rPr>
        <w:t>, the CMIs</w:t>
      </w:r>
      <w:r w:rsidRPr="009A09FD" w:rsidR="00B86ADE">
        <w:rPr>
          <w:snapToGrid w:val="0"/>
        </w:rPr>
        <w:t>,</w:t>
      </w:r>
      <w:r w:rsidRPr="009A09FD">
        <w:rPr>
          <w:snapToGrid w:val="0"/>
        </w:rPr>
        <w:t xml:space="preserve"> the </w:t>
      </w:r>
      <w:r w:rsidRPr="009A09FD" w:rsidR="0063355B">
        <w:rPr>
          <w:snapToGrid w:val="0"/>
        </w:rPr>
        <w:t xml:space="preserve">Joint </w:t>
      </w:r>
      <w:r w:rsidRPr="009A09FD" w:rsidR="004307BB">
        <w:rPr>
          <w:snapToGrid w:val="0"/>
        </w:rPr>
        <w:t>Sponsor</w:t>
      </w:r>
      <w:r w:rsidRPr="009A09FD" w:rsidR="0063355B">
        <w:rPr>
          <w:snapToGrid w:val="0"/>
        </w:rPr>
        <w:t>s</w:t>
      </w:r>
      <w:r w:rsidRPr="009A09FD">
        <w:rPr>
          <w:snapToGrid w:val="0"/>
        </w:rPr>
        <w:t xml:space="preserve"> </w:t>
      </w:r>
      <w:r w:rsidRPr="009A09FD" w:rsidR="0086050B">
        <w:rPr>
          <w:snapToGrid w:val="0"/>
        </w:rPr>
        <w:t xml:space="preserve">and the Sponsor-OC, </w:t>
      </w:r>
      <w:r w:rsidRPr="009A09FD">
        <w:rPr>
          <w:snapToGrid w:val="0"/>
        </w:rPr>
        <w:t xml:space="preserve">may at any time assign to any of their respective Affiliates, any person who has the benefit of the indemnities in Section </w:t>
      </w:r>
      <w:r w:rsidRPr="009A09FD">
        <w:rPr>
          <w:snapToGrid w:val="0"/>
        </w:rPr>
        <w:fldChar w:fldCharType="begin"/>
      </w:r>
      <w:r w:rsidRPr="009A09FD">
        <w:rPr>
          <w:snapToGrid w:val="0"/>
        </w:rPr>
        <w:instrText xml:space="preserve"> REF _Ref367265688 \r \h  \* MERGEFORMAT </w:instrText>
      </w:r>
      <w:r w:rsidRPr="009A09FD">
        <w:rPr>
          <w:snapToGrid w:val="0"/>
        </w:rPr>
        <w:fldChar w:fldCharType="separate"/>
      </w:r>
      <w:r w:rsidRPr="009A09FD" w:rsidR="00ED2E07">
        <w:rPr>
          <w:snapToGrid w:val="0"/>
        </w:rPr>
        <w:t>11</w:t>
      </w:r>
      <w:r w:rsidRPr="009A09FD">
        <w:rPr>
          <w:snapToGrid w:val="0"/>
        </w:rPr>
        <w:fldChar w:fldCharType="end"/>
      </w:r>
      <w:r w:rsidRPr="009A09FD">
        <w:rPr>
          <w:snapToGrid w:val="0"/>
        </w:rPr>
        <w:t xml:space="preserve"> and any of their respective successor entities the benefits of and interests and rights in or arising under this Agreement.  Obligations under this Agreement shall not be assignable</w:t>
      </w:r>
      <w:r w:rsidRPr="009A09FD" w:rsidR="008C1688">
        <w:rPr>
          <w:snapToGrid w:val="0"/>
        </w:rPr>
        <w:t>.</w:t>
      </w:r>
    </w:p>
    <w:p w:rsidR="00DF0D35" w:rsidRPr="009A09FD" w:rsidP="00DC5454" w14:paraId="4591A48E" w14:textId="6D0237D5">
      <w:pPr>
        <w:pStyle w:val="Heading1"/>
        <w:rPr>
          <w:snapToGrid w:val="0"/>
        </w:rPr>
      </w:pPr>
      <w:bookmarkStart w:id="251" w:name="_Toc517409054"/>
      <w:bookmarkStart w:id="252" w:name="_Toc72862721"/>
      <w:r>
        <w:rPr>
          <w:snapToGrid w:val="0"/>
        </w:rPr>
        <w:t xml:space="preserve">UK </w:t>
      </w:r>
      <w:r w:rsidRPr="009A09FD" w:rsidR="006A62F4">
        <w:rPr>
          <w:snapToGrid w:val="0"/>
        </w:rPr>
        <w:t>Bail-in Action</w:t>
      </w:r>
      <w:bookmarkEnd w:id="251"/>
      <w:bookmarkEnd w:id="252"/>
      <w:r>
        <w:rPr>
          <w:rStyle w:val="FootnoteReference"/>
          <w:bCs/>
          <w:szCs w:val="22"/>
        </w:rPr>
        <w:footnoteReference w:id="28"/>
      </w:r>
    </w:p>
    <w:p w:rsidR="00044396" w:rsidRPr="009A09FD" w:rsidP="00DC5454" w14:paraId="42139F00" w14:textId="6D0DCD80">
      <w:pPr>
        <w:pStyle w:val="BodyText1"/>
        <w:rPr>
          <w:snapToGrid w:val="0"/>
        </w:rPr>
      </w:pPr>
      <w:r w:rsidRPr="009A09FD">
        <w:rPr>
          <w:snapToGrid w:val="0"/>
        </w:rPr>
        <w:t>Notwithstanding and to the exclusion of any other term of this Agreement or any other agreements, arrangements or understanding between UK Bail-in Parties and the Counterparties, each Counterparty acknowledges, accepts, and agrees that a UK Bail-in Liability arising under this Agreement may be subject to the exercise of UK Bail-in Powers by the relevant UK resolution authority and acknowledges, accepts, and agrees to be bound by:</w:t>
      </w:r>
    </w:p>
    <w:p w:rsidR="00044396" w:rsidRPr="009A09FD" w:rsidP="00DC5454" w14:paraId="05C7A0AA" w14:textId="77777777">
      <w:pPr>
        <w:pStyle w:val="Heading3"/>
        <w:rPr>
          <w:snapToGrid w:val="0"/>
        </w:rPr>
      </w:pPr>
      <w:r w:rsidRPr="009A09FD">
        <w:rPr>
          <w:snapToGrid w:val="0"/>
        </w:rPr>
        <w:t>the effect of the exercise of UK Bail-in Powers by the relevant UK resolution authority in relation to any UK Bail-in Liability of UK Bail-in Parties to the Counterparties under this Agreement, that (without limitation) may include and result in any of the following, or some combination thereof:</w:t>
      </w:r>
    </w:p>
    <w:p w:rsidR="00044396" w:rsidRPr="009A09FD" w:rsidP="00DC5454" w14:paraId="566B4F2E" w14:textId="4F6F5124">
      <w:pPr>
        <w:pStyle w:val="Heading4"/>
        <w:rPr>
          <w:snapToGrid w:val="0"/>
        </w:rPr>
      </w:pPr>
      <w:r w:rsidRPr="009A09FD">
        <w:rPr>
          <w:snapToGrid w:val="0"/>
          <w:lang w:eastAsia="en-GB"/>
        </w:rPr>
        <w:t>the reduction of all, or a portion, of the UK Bail-in Liability or outstanding amounts due thereon;</w:t>
      </w:r>
    </w:p>
    <w:p w:rsidR="00044396" w:rsidRPr="009A09FD" w:rsidP="00DC5454" w14:paraId="6DC9851B" w14:textId="4233CBC3">
      <w:pPr>
        <w:pStyle w:val="Heading4"/>
        <w:rPr>
          <w:rFonts w:cs="Arial"/>
          <w:snapToGrid w:val="0"/>
        </w:rPr>
      </w:pPr>
      <w:r w:rsidRPr="009A09FD">
        <w:rPr>
          <w:rFonts w:cs="Arial"/>
          <w:snapToGrid w:val="0"/>
          <w:lang w:eastAsia="en-GB"/>
        </w:rPr>
        <w:t>the conversion of all, or a portion, of the UK Bail-in Liability into shares, other securities or other obligations of the UK Bail-in Parties or another person, and the issue to or conferral on the Counterparties of such shares, securities or obligations;</w:t>
      </w:r>
    </w:p>
    <w:p w:rsidR="00044396" w:rsidRPr="009A09FD" w:rsidP="00DC5454" w14:paraId="67043E23" w14:textId="2349EEAE">
      <w:pPr>
        <w:pStyle w:val="Heading4"/>
        <w:rPr>
          <w:rFonts w:cs="Arial"/>
          <w:snapToGrid w:val="0"/>
        </w:rPr>
      </w:pPr>
      <w:r w:rsidRPr="009A09FD">
        <w:rPr>
          <w:rFonts w:cs="Arial"/>
          <w:snapToGrid w:val="0"/>
          <w:lang w:eastAsia="en-GB"/>
        </w:rPr>
        <w:t>the cancellation of the UK Bail-in Liability; and</w:t>
      </w:r>
    </w:p>
    <w:p w:rsidR="00044396" w:rsidRPr="009A09FD" w:rsidP="00DC5454" w14:paraId="28D0C31F" w14:textId="77777777">
      <w:pPr>
        <w:pStyle w:val="Heading4"/>
        <w:rPr>
          <w:rFonts w:cs="Arial"/>
          <w:snapToGrid w:val="0"/>
        </w:rPr>
      </w:pPr>
      <w:r w:rsidRPr="009A09FD">
        <w:rPr>
          <w:rFonts w:cs="Arial"/>
          <w:snapToGrid w:val="0"/>
        </w:rPr>
        <w:t xml:space="preserve">the </w:t>
      </w:r>
      <w:r w:rsidRPr="009A09FD">
        <w:rPr>
          <w:rFonts w:cs="Arial"/>
          <w:snapToGrid w:val="0"/>
          <w:lang w:eastAsia="en-GB"/>
        </w:rPr>
        <w:t>amendment</w:t>
      </w:r>
      <w:r w:rsidRPr="009A09FD">
        <w:rPr>
          <w:rFonts w:cs="Arial"/>
          <w:snapToGrid w:val="0"/>
        </w:rPr>
        <w:t xml:space="preserve"> or alteration of any interest, if applicable, thereon, the maturity or the dates on which any payments are due, including by suspending payment for a temporary period; and</w:t>
      </w:r>
    </w:p>
    <w:p w:rsidR="00044396" w:rsidRPr="009A09FD" w:rsidP="00DC5454" w14:paraId="6BDA4025" w14:textId="77777777">
      <w:pPr>
        <w:pStyle w:val="Heading3"/>
        <w:rPr>
          <w:rFonts w:cs="Arial"/>
          <w:snapToGrid w:val="0"/>
        </w:rPr>
      </w:pPr>
      <w:r w:rsidRPr="009A09FD">
        <w:rPr>
          <w:rFonts w:cs="Arial"/>
          <w:snapToGrid w:val="0"/>
        </w:rPr>
        <w:t>the variation of the terms of this Agreement, as deemed necessary by the relevant UK resolution authority, to give effect to the exercise of UK Bail-in Powers by the relevant UK resolution authority.</w:t>
      </w:r>
    </w:p>
    <w:p w:rsidR="00044396" w:rsidRPr="009A09FD" w:rsidP="00DC5454" w14:paraId="2EDBBB03" w14:textId="397F994B">
      <w:pPr>
        <w:pStyle w:val="Heading3"/>
        <w:rPr>
          <w:rFonts w:cs="Arial"/>
          <w:snapToGrid w:val="0"/>
        </w:rPr>
      </w:pPr>
      <w:r w:rsidRPr="009A09FD">
        <w:rPr>
          <w:rFonts w:cs="Arial"/>
          <w:snapToGrid w:val="0"/>
        </w:rPr>
        <w:t xml:space="preserve">In this </w:t>
      </w:r>
      <w:r w:rsidR="00E44AC1">
        <w:rPr>
          <w:rFonts w:cs="Arial"/>
          <w:snapToGrid w:val="0"/>
        </w:rPr>
        <w:t>Section</w:t>
      </w:r>
      <w:r w:rsidRPr="009A09FD">
        <w:rPr>
          <w:rFonts w:cs="Arial"/>
          <w:snapToGrid w:val="0"/>
        </w:rPr>
        <w:t xml:space="preserve"> </w:t>
      </w:r>
      <w:r w:rsidR="00D75DF0">
        <w:rPr>
          <w:rFonts w:cs="Arial"/>
          <w:snapToGrid w:val="0"/>
        </w:rPr>
        <w:t>23</w:t>
      </w:r>
      <w:r w:rsidRPr="009A09FD">
        <w:rPr>
          <w:rFonts w:cs="Arial"/>
          <w:snapToGrid w:val="0"/>
        </w:rPr>
        <w:t>:</w:t>
      </w:r>
    </w:p>
    <w:p w:rsidR="00044396" w:rsidRPr="009A09FD" w:rsidP="00DC5454" w14:paraId="3EA22766" w14:textId="77777777">
      <w:pPr>
        <w:pStyle w:val="BodyText2"/>
        <w:rPr>
          <w:snapToGrid w:val="0"/>
        </w:rPr>
      </w:pPr>
      <w:r w:rsidRPr="009A09FD">
        <w:rPr>
          <w:snapToGrid w:val="0"/>
        </w:rPr>
        <w:t>“</w:t>
      </w:r>
      <w:r w:rsidRPr="009A09FD">
        <w:rPr>
          <w:b/>
          <w:bCs/>
          <w:snapToGrid w:val="0"/>
        </w:rPr>
        <w:t>Counterparties</w:t>
      </w:r>
      <w:r w:rsidRPr="009A09FD">
        <w:rPr>
          <w:snapToGrid w:val="0"/>
        </w:rPr>
        <w:t xml:space="preserve">” refers to any party in this Agreement to whom any UK Bail-in Party owes a UK Bail-in Liability under or in connection with this Agreement from time to time.  </w:t>
      </w:r>
    </w:p>
    <w:p w:rsidR="00044396" w:rsidRPr="009A09FD" w:rsidP="00DC5454" w14:paraId="6DCE4E91" w14:textId="77777777">
      <w:pPr>
        <w:pStyle w:val="BodyText2"/>
        <w:rPr>
          <w:snapToGrid w:val="0"/>
        </w:rPr>
      </w:pPr>
      <w:r w:rsidRPr="009A09FD">
        <w:rPr>
          <w:snapToGrid w:val="0"/>
        </w:rPr>
        <w:t>“</w:t>
      </w:r>
      <w:r w:rsidRPr="009A09FD">
        <w:rPr>
          <w:b/>
          <w:bCs/>
          <w:snapToGrid w:val="0"/>
        </w:rPr>
        <w:t>UK Bail-in Legislation</w:t>
      </w:r>
      <w:r w:rsidRPr="009A09FD">
        <w:rPr>
          <w:snapToGrid w:val="0"/>
        </w:rPr>
        <w:t xml:space="preserve">” means Part I of the UK Banking Act 2009 and any other law or regulation applicable in the UK relating to the resolution of unsound or failing banks, investment firms or other financial institutions or their affiliates (otherwise than through liquidation, administration or other insolvency proceedings). </w:t>
      </w:r>
    </w:p>
    <w:p w:rsidR="00044396" w:rsidRPr="009A09FD" w:rsidP="00DC5454" w14:paraId="1EA8FAB4" w14:textId="77777777">
      <w:pPr>
        <w:pStyle w:val="BodyText2"/>
        <w:rPr>
          <w:snapToGrid w:val="0"/>
        </w:rPr>
      </w:pPr>
      <w:r w:rsidRPr="009A09FD">
        <w:rPr>
          <w:snapToGrid w:val="0"/>
        </w:rPr>
        <w:t>“</w:t>
      </w:r>
      <w:r w:rsidRPr="009A09FD">
        <w:rPr>
          <w:b/>
          <w:bCs/>
          <w:snapToGrid w:val="0"/>
        </w:rPr>
        <w:t>UK Bail-in Liability</w:t>
      </w:r>
      <w:r w:rsidRPr="009A09FD">
        <w:rPr>
          <w:snapToGrid w:val="0"/>
        </w:rPr>
        <w:t>” means a liability in respect of which the UK Bail-in Powers may be exercised.</w:t>
      </w:r>
    </w:p>
    <w:p w:rsidR="00044396" w:rsidRPr="009A09FD" w:rsidP="00DC5454" w14:paraId="53A67FC4" w14:textId="1EE7DC9E">
      <w:pPr>
        <w:pStyle w:val="BodyText2"/>
        <w:rPr>
          <w:snapToGrid w:val="0"/>
        </w:rPr>
      </w:pPr>
      <w:r w:rsidRPr="009A09FD">
        <w:rPr>
          <w:snapToGrid w:val="0"/>
        </w:rPr>
        <w:t>“</w:t>
      </w:r>
      <w:r w:rsidRPr="009A09FD">
        <w:rPr>
          <w:b/>
          <w:bCs/>
          <w:snapToGrid w:val="0"/>
        </w:rPr>
        <w:t>UK Bail-in Parties</w:t>
      </w:r>
      <w:r w:rsidRPr="009A09FD">
        <w:rPr>
          <w:snapToGrid w:val="0"/>
        </w:rPr>
        <w:t xml:space="preserve">” refers to the relevant underwriters </w:t>
      </w:r>
      <w:r w:rsidR="00D6519D">
        <w:rPr>
          <w:snapToGrid w:val="0"/>
        </w:rPr>
        <w:t xml:space="preserve">to </w:t>
      </w:r>
      <w:r w:rsidRPr="009A09FD">
        <w:rPr>
          <w:snapToGrid w:val="0"/>
        </w:rPr>
        <w:t>which the UK Bail-in Legislation applies and each a “</w:t>
      </w:r>
      <w:r w:rsidRPr="009A09FD">
        <w:rPr>
          <w:b/>
          <w:bCs/>
          <w:snapToGrid w:val="0"/>
        </w:rPr>
        <w:t>UK Bail-in Party</w:t>
      </w:r>
      <w:r w:rsidRPr="009A09FD">
        <w:rPr>
          <w:snapToGrid w:val="0"/>
        </w:rPr>
        <w:t>”.</w:t>
      </w:r>
    </w:p>
    <w:p w:rsidR="00044396" w:rsidRPr="009A09FD" w:rsidP="00DC5454" w14:paraId="35805AC5" w14:textId="77777777">
      <w:pPr>
        <w:pStyle w:val="BodyText2"/>
        <w:rPr>
          <w:snapToGrid w:val="0"/>
        </w:rPr>
      </w:pPr>
      <w:r w:rsidRPr="009A09FD">
        <w:rPr>
          <w:snapToGrid w:val="0"/>
        </w:rPr>
        <w:t>“</w:t>
      </w:r>
      <w:r w:rsidRPr="009A09FD">
        <w:rPr>
          <w:b/>
          <w:bCs/>
          <w:snapToGrid w:val="0"/>
        </w:rPr>
        <w:t>UK Bail-in Powers</w:t>
      </w:r>
      <w:r w:rsidRPr="009A09FD">
        <w:rPr>
          <w:snapToGrid w:val="0"/>
        </w:rPr>
        <w:t>” means the powers under the UK Bail-in Legislation to cancel, transfer or dilute shares issued by a person that is a bank or investment firm or affiliate of a bank or investment firm, to cancel, reduce, modify or change the form of a liability of such a person or any contract or instrument under which that liability arises, to convert all or part of that liability into shares, securities or obligations of that person or any other person, to provide that any such contract or instrument is to have effect as if a right had been exercised under it or to suspend any obligation in respect of that liability.</w:t>
      </w:r>
    </w:p>
    <w:p w:rsidR="00E06661" w:rsidRPr="0021415E" w:rsidP="00E06661" w14:paraId="57774D6A" w14:textId="734E2FDD">
      <w:pPr>
        <w:pStyle w:val="Heading1"/>
      </w:pPr>
      <w:bookmarkStart w:id="253" w:name="_Toc72862722"/>
      <w:r>
        <w:t xml:space="preserve">EU </w:t>
      </w:r>
      <w:r w:rsidRPr="0021415E">
        <w:t xml:space="preserve">Bail-in </w:t>
      </w:r>
      <w:r>
        <w:t>Action</w:t>
      </w:r>
      <w:r>
        <w:rPr>
          <w:rStyle w:val="FootnoteReference"/>
          <w:bCs/>
          <w:szCs w:val="22"/>
        </w:rPr>
        <w:footnoteReference w:id="29"/>
      </w:r>
    </w:p>
    <w:p w:rsidR="00E06661" w:rsidP="00E06661" w14:paraId="16E1CB27" w14:textId="77777777">
      <w:pPr>
        <w:pStyle w:val="BodyText1"/>
        <w:rPr>
          <w:lang w:eastAsia="zh-CN"/>
        </w:rPr>
      </w:pPr>
      <w:r w:rsidRPr="00E079DC">
        <w:t>Notwithstanding</w:t>
      </w:r>
      <w:r w:rsidRPr="00E079DC">
        <w:rPr>
          <w:lang w:eastAsia="zh-CN"/>
        </w:rPr>
        <w:t xml:space="preserve"> and to the exclusion of any other term of this Agreement or any other agreements, arrangements, or understanding between any BRRD Party and any BRRD Counterparty, each BRRD Counterparty acknowledges and accepts that a BRRD Liability arising under this Agreement may be subject to the exercise of Bail-in Powers by the Relevant Resolution Authority, and acknowledges, accepts, and agrees to be bound by:</w:t>
      </w:r>
    </w:p>
    <w:p w:rsidR="00E06661" w:rsidP="00E06661" w14:paraId="6F3B635E" w14:textId="77777777">
      <w:pPr>
        <w:pStyle w:val="Heading3"/>
        <w:rPr>
          <w:lang w:eastAsia="zh-CN"/>
        </w:rPr>
      </w:pPr>
      <w:r>
        <w:rPr>
          <w:lang w:eastAsia="zh-CN"/>
        </w:rPr>
        <w:t>the effect of the exercise of Bail-in Powers by the Relevant Resolution Authority in relation to any BRRD Liability of the BRRD Party to each BRRD Counterparty under this Agreement, that (without limitation) may include and result in any of the following, or some combination thereof:</w:t>
      </w:r>
    </w:p>
    <w:p w:rsidR="00E06661" w:rsidP="00E06661" w14:paraId="546002EF" w14:textId="77777777">
      <w:pPr>
        <w:pStyle w:val="Heading4"/>
        <w:rPr>
          <w:lang w:eastAsia="zh-CN"/>
        </w:rPr>
      </w:pPr>
      <w:r>
        <w:rPr>
          <w:lang w:eastAsia="zh-CN"/>
        </w:rPr>
        <w:t>the reduction of all, or a portion, of the BRRD Liability or outstanding amounts due thereon;</w:t>
      </w:r>
    </w:p>
    <w:p w:rsidR="00E06661" w:rsidP="00E06661" w14:paraId="025D7959" w14:textId="77777777">
      <w:pPr>
        <w:pStyle w:val="Heading4"/>
        <w:rPr>
          <w:lang w:eastAsia="zh-CN"/>
        </w:rPr>
      </w:pPr>
      <w:r>
        <w:rPr>
          <w:lang w:eastAsia="zh-CN"/>
        </w:rPr>
        <w:t>the conversion of all, or a portion, of the BRRD Liability into shares, other securities or other obligations of the BRRD Party or another person, and the issue to or conferral on the BRRD Counterparty of such shares, securities or obligations;</w:t>
      </w:r>
    </w:p>
    <w:p w:rsidR="00E06661" w:rsidP="00E06661" w14:paraId="5704FBBC" w14:textId="77777777">
      <w:pPr>
        <w:pStyle w:val="Heading4"/>
        <w:rPr>
          <w:lang w:eastAsia="zh-CN"/>
        </w:rPr>
      </w:pPr>
      <w:r w:rsidRPr="0075414A">
        <w:rPr>
          <w:lang w:eastAsia="zh-CN"/>
        </w:rPr>
        <w:t>the cancellation of the BRRD Liability;</w:t>
      </w:r>
    </w:p>
    <w:p w:rsidR="00E06661" w:rsidP="00E06661" w14:paraId="753A422C" w14:textId="77777777">
      <w:pPr>
        <w:pStyle w:val="Heading4"/>
        <w:rPr>
          <w:lang w:eastAsia="zh-CN"/>
        </w:rPr>
      </w:pPr>
      <w:r>
        <w:rPr>
          <w:lang w:eastAsia="zh-CN"/>
        </w:rPr>
        <w:t>the amendment or alteration of any interest, if applicable, thereon, the maturity or the dates on which any payments are due, including by suspending payment for a temporary period; and</w:t>
      </w:r>
    </w:p>
    <w:p w:rsidR="00E06661" w:rsidP="00E06661" w14:paraId="570991E3" w14:textId="77777777">
      <w:pPr>
        <w:pStyle w:val="Heading3"/>
        <w:rPr>
          <w:lang w:eastAsia="zh-CN"/>
        </w:rPr>
      </w:pPr>
      <w:r>
        <w:rPr>
          <w:lang w:eastAsia="zh-CN"/>
        </w:rPr>
        <w:t>the variation of the terms of this Agreement, as deemed necessary by the Relevant Resolution Authority, to give effect to the exercise of Bail-in Powers by the Relevant Resolution Authority.</w:t>
      </w:r>
    </w:p>
    <w:p w:rsidR="00E06661" w:rsidP="00E06661" w14:paraId="252E8DB4" w14:textId="77777777">
      <w:pPr>
        <w:pStyle w:val="BodyText1"/>
        <w:rPr>
          <w:lang w:eastAsia="zh-CN"/>
        </w:rPr>
      </w:pPr>
      <w:r w:rsidRPr="0075414A">
        <w:rPr>
          <w:lang w:eastAsia="zh-CN"/>
        </w:rPr>
        <w:t xml:space="preserve">For the purpose of this Section </w:t>
      </w:r>
      <w:r>
        <w:rPr>
          <w:lang w:eastAsia="zh-CN"/>
        </w:rPr>
        <w:t>2</w:t>
      </w:r>
      <w:r>
        <w:rPr>
          <w:rFonts w:hint="eastAsia"/>
          <w:lang w:eastAsia="zh-CN"/>
        </w:rPr>
        <w:t>4</w:t>
      </w:r>
      <w:r w:rsidRPr="0075414A">
        <w:rPr>
          <w:lang w:eastAsia="zh-CN"/>
        </w:rPr>
        <w:t>:</w:t>
      </w:r>
    </w:p>
    <w:p w:rsidR="00E06661" w:rsidP="00E06661" w14:paraId="05FEFCE0" w14:textId="77777777">
      <w:pPr>
        <w:pStyle w:val="BodyText1"/>
        <w:rPr>
          <w:lang w:eastAsia="zh-CN"/>
        </w:rPr>
      </w:pPr>
      <w:r>
        <w:rPr>
          <w:lang w:eastAsia="zh-CN"/>
        </w:rPr>
        <w:t>“</w:t>
      </w:r>
      <w:r w:rsidRPr="0075414A">
        <w:rPr>
          <w:b/>
          <w:bCs/>
          <w:lang w:eastAsia="zh-CN"/>
        </w:rPr>
        <w:t>Bail-in Legislation</w:t>
      </w:r>
      <w:r>
        <w:rPr>
          <w:lang w:eastAsia="zh-CN"/>
        </w:rPr>
        <w:t>” means in relation to a member state of the European Economic Area which has implemented, or which at any time implements, the BRRD, the relevant implementing law, regulation, rule or requirement as described in the EU Bail-in Legislation Schedule from time to time;</w:t>
      </w:r>
    </w:p>
    <w:p w:rsidR="00E06661" w:rsidP="00E06661" w14:paraId="2237BF9F" w14:textId="77777777">
      <w:pPr>
        <w:pStyle w:val="BodyText1"/>
        <w:rPr>
          <w:lang w:eastAsia="zh-CN"/>
        </w:rPr>
      </w:pPr>
      <w:r>
        <w:rPr>
          <w:lang w:eastAsia="zh-CN"/>
        </w:rPr>
        <w:t>“</w:t>
      </w:r>
      <w:r w:rsidRPr="0075414A">
        <w:rPr>
          <w:b/>
          <w:bCs/>
          <w:lang w:eastAsia="zh-CN"/>
        </w:rPr>
        <w:t>Bail-in Powers</w:t>
      </w:r>
      <w:r>
        <w:rPr>
          <w:lang w:eastAsia="zh-CN"/>
        </w:rPr>
        <w:t>” means any Write-down and Conversion Powers as defined in the EU Bail-in Legislation Schedule, in relation to the relevant Bail-in Legislation;</w:t>
      </w:r>
    </w:p>
    <w:p w:rsidR="00E06661" w:rsidP="00E06661" w14:paraId="4FBEEA9D" w14:textId="77777777">
      <w:pPr>
        <w:pStyle w:val="BodyText1"/>
        <w:rPr>
          <w:lang w:eastAsia="zh-CN"/>
        </w:rPr>
      </w:pPr>
      <w:r>
        <w:rPr>
          <w:lang w:eastAsia="zh-CN"/>
        </w:rPr>
        <w:t>“</w:t>
      </w:r>
      <w:r w:rsidRPr="0075414A">
        <w:rPr>
          <w:b/>
          <w:bCs/>
          <w:lang w:eastAsia="zh-CN"/>
        </w:rPr>
        <w:t>BRRD</w:t>
      </w:r>
      <w:r>
        <w:rPr>
          <w:lang w:eastAsia="zh-CN"/>
        </w:rPr>
        <w:t>” means Directive 2014/59/EU establishing a framework for the recovery and resolution of credit institutions and investment firms;</w:t>
      </w:r>
    </w:p>
    <w:p w:rsidR="00E06661" w:rsidP="00E06661" w14:paraId="6A3B572F" w14:textId="77777777">
      <w:pPr>
        <w:pStyle w:val="BodyText1"/>
        <w:rPr>
          <w:lang w:eastAsia="zh-CN"/>
        </w:rPr>
      </w:pPr>
      <w:r>
        <w:rPr>
          <w:lang w:eastAsia="zh-CN"/>
        </w:rPr>
        <w:t>“</w:t>
      </w:r>
      <w:r w:rsidRPr="0075414A">
        <w:rPr>
          <w:b/>
          <w:bCs/>
          <w:lang w:eastAsia="zh-CN"/>
        </w:rPr>
        <w:t>BRRD Counterparty</w:t>
      </w:r>
      <w:r>
        <w:rPr>
          <w:lang w:eastAsia="zh-CN"/>
        </w:rPr>
        <w:t>” means the parties to this Agreement which are not a BRRD Party;</w:t>
      </w:r>
    </w:p>
    <w:p w:rsidR="00E06661" w:rsidP="00E06661" w14:paraId="018C913A" w14:textId="77777777">
      <w:pPr>
        <w:pStyle w:val="BodyText1"/>
        <w:rPr>
          <w:lang w:eastAsia="zh-CN"/>
        </w:rPr>
      </w:pPr>
      <w:r>
        <w:rPr>
          <w:lang w:eastAsia="zh-CN"/>
        </w:rPr>
        <w:t>“</w:t>
      </w:r>
      <w:r w:rsidRPr="0075414A">
        <w:rPr>
          <w:b/>
          <w:bCs/>
          <w:lang w:eastAsia="zh-CN"/>
        </w:rPr>
        <w:t>BRRD Liability</w:t>
      </w:r>
      <w:r>
        <w:rPr>
          <w:lang w:eastAsia="zh-CN"/>
        </w:rPr>
        <w:t>” means a liability in respect of which the relevant Write Down and Conversion Powers in the applicable Bail-in Legislation may be exercised;</w:t>
      </w:r>
    </w:p>
    <w:p w:rsidR="00E06661" w:rsidP="00E06661" w14:paraId="08AC07CF" w14:textId="77777777">
      <w:pPr>
        <w:pStyle w:val="BodyText1"/>
        <w:rPr>
          <w:lang w:eastAsia="zh-CN"/>
        </w:rPr>
      </w:pPr>
      <w:r>
        <w:rPr>
          <w:lang w:eastAsia="zh-CN"/>
        </w:rPr>
        <w:t>“</w:t>
      </w:r>
      <w:r w:rsidRPr="0075414A">
        <w:rPr>
          <w:b/>
          <w:bCs/>
          <w:lang w:eastAsia="zh-CN"/>
        </w:rPr>
        <w:t>BRRD Party</w:t>
      </w:r>
      <w:r>
        <w:rPr>
          <w:lang w:eastAsia="zh-CN"/>
        </w:rPr>
        <w:t>” means the relevant parties to which the BRRD applies;</w:t>
      </w:r>
    </w:p>
    <w:p w:rsidR="00E06661" w:rsidP="00E06661" w14:paraId="4AB44A58" w14:textId="77777777">
      <w:pPr>
        <w:pStyle w:val="BodyText1"/>
        <w:rPr>
          <w:lang w:eastAsia="zh-CN"/>
        </w:rPr>
      </w:pPr>
      <w:r>
        <w:rPr>
          <w:lang w:eastAsia="zh-CN"/>
        </w:rPr>
        <w:t>“</w:t>
      </w:r>
      <w:r w:rsidRPr="0075414A">
        <w:rPr>
          <w:b/>
          <w:bCs/>
          <w:lang w:eastAsia="zh-CN"/>
        </w:rPr>
        <w:t>EU Bail-in Legislation Schedule</w:t>
      </w:r>
      <w:r>
        <w:rPr>
          <w:lang w:eastAsia="zh-CN"/>
        </w:rPr>
        <w:t xml:space="preserve">” means the document described as such, then in effect, and published by the Loan Market Association (or any successor person) from time to time at </w:t>
      </w:r>
      <w:hyperlink r:id="rId5" w:history="1">
        <w:r w:rsidRPr="00686FDB">
          <w:rPr>
            <w:rStyle w:val="Hyperlink"/>
            <w:lang w:eastAsia="zh-CN"/>
          </w:rPr>
          <w:t>http://www.lma.eu.com/pages.aspx?p=499</w:t>
        </w:r>
      </w:hyperlink>
      <w:r>
        <w:rPr>
          <w:lang w:eastAsia="zh-CN"/>
        </w:rPr>
        <w:t>; and</w:t>
      </w:r>
    </w:p>
    <w:p w:rsidR="00E06661" w:rsidRPr="00E079DC" w:rsidP="00E06661" w14:paraId="0194F584" w14:textId="77777777">
      <w:pPr>
        <w:pStyle w:val="BodyText1"/>
        <w:rPr>
          <w:lang w:eastAsia="zh-CN"/>
        </w:rPr>
      </w:pPr>
      <w:r>
        <w:rPr>
          <w:lang w:eastAsia="zh-CN"/>
        </w:rPr>
        <w:t>“</w:t>
      </w:r>
      <w:r w:rsidRPr="0075414A">
        <w:rPr>
          <w:b/>
          <w:bCs/>
          <w:lang w:eastAsia="zh-CN"/>
        </w:rPr>
        <w:t>Relevant Resolution Authority</w:t>
      </w:r>
      <w:r>
        <w:rPr>
          <w:lang w:eastAsia="zh-CN"/>
        </w:rPr>
        <w:t>” means the resolution authority with the ability to exercise any Bail-in Powers in relation to any BRRD Party.</w:t>
      </w:r>
    </w:p>
    <w:p w:rsidR="00E06B2C" w:rsidRPr="009A09FD" w:rsidP="00DC5454" w14:paraId="72CD8427" w14:textId="1AEDB45F">
      <w:pPr>
        <w:pStyle w:val="Heading1"/>
        <w:rPr>
          <w:snapToGrid w:val="0"/>
        </w:rPr>
      </w:pPr>
      <w:r w:rsidRPr="009A09FD">
        <w:rPr>
          <w:rFonts w:hint="eastAsia"/>
          <w:snapToGrid w:val="0"/>
        </w:rPr>
        <w:t xml:space="preserve">Recognition of the U.S. Special </w:t>
      </w:r>
      <w:r w:rsidRPr="009A09FD">
        <w:rPr>
          <w:snapToGrid w:val="0"/>
        </w:rPr>
        <w:t>Resolution</w:t>
      </w:r>
      <w:r w:rsidRPr="009A09FD">
        <w:rPr>
          <w:rFonts w:hint="eastAsia"/>
          <w:snapToGrid w:val="0"/>
        </w:rPr>
        <w:t xml:space="preserve"> Regimes</w:t>
      </w:r>
      <w:bookmarkEnd w:id="253"/>
      <w:r>
        <w:rPr>
          <w:rStyle w:val="FootnoteReference"/>
          <w:bCs/>
          <w:szCs w:val="22"/>
        </w:rPr>
        <w:footnoteReference w:id="30"/>
      </w:r>
    </w:p>
    <w:p w:rsidR="00E06B2C" w:rsidRPr="009A09FD" w:rsidP="00DC5454" w14:paraId="5153BF2F" w14:textId="6BEE83A3">
      <w:pPr>
        <w:pStyle w:val="Heading3"/>
        <w:rPr>
          <w:snapToGrid w:val="0"/>
        </w:rPr>
      </w:pPr>
      <w:r w:rsidRPr="009A09FD">
        <w:rPr>
          <w:snapToGrid w:val="0"/>
        </w:rPr>
        <w:t xml:space="preserve">In the event that any </w:t>
      </w:r>
      <w:r w:rsidRPr="009A09FD" w:rsidR="007559EF">
        <w:rPr>
          <w:snapToGrid w:val="0"/>
        </w:rPr>
        <w:t xml:space="preserve">Joint Sponsors, Overall-Coordinator or </w:t>
      </w:r>
      <w:r w:rsidRPr="009A09FD">
        <w:rPr>
          <w:snapToGrid w:val="0"/>
        </w:rPr>
        <w:t xml:space="preserve">International Underwriter that is a Covered Entity becomes subject to a proceeding under a U.S. Special Resolution Regime, the transfer from such </w:t>
      </w:r>
      <w:r w:rsidRPr="009A09FD" w:rsidR="007559EF">
        <w:rPr>
          <w:snapToGrid w:val="0"/>
        </w:rPr>
        <w:t xml:space="preserve">Joint Sponsors, Overall-Coordinator or </w:t>
      </w:r>
      <w:r w:rsidRPr="009A09FD">
        <w:rPr>
          <w:snapToGrid w:val="0"/>
        </w:rPr>
        <w:t>International Underwriter of this Agreement, and any interest and obligation in or under this Agreement, will be effective to the same extent as the transfer would be effective under the U.S. Special Resolution Regime if this Agreement, and any such interest and obligation, were governed by the laws of the United States or a state of the United States.</w:t>
      </w:r>
    </w:p>
    <w:p w:rsidR="00E06B2C" w:rsidRPr="009A09FD" w:rsidP="00DC5454" w14:paraId="14DA4106" w14:textId="3A6BD13E">
      <w:pPr>
        <w:pStyle w:val="Heading3"/>
        <w:rPr>
          <w:snapToGrid w:val="0"/>
        </w:rPr>
      </w:pPr>
      <w:r w:rsidRPr="009A09FD">
        <w:rPr>
          <w:snapToGrid w:val="0"/>
        </w:rPr>
        <w:t xml:space="preserve">In the event that any </w:t>
      </w:r>
      <w:r w:rsidRPr="009A09FD" w:rsidR="007559EF">
        <w:rPr>
          <w:snapToGrid w:val="0"/>
        </w:rPr>
        <w:t xml:space="preserve">Joint Sponsors, Overall-Coordinator or </w:t>
      </w:r>
      <w:r w:rsidRPr="009A09FD">
        <w:rPr>
          <w:snapToGrid w:val="0"/>
        </w:rPr>
        <w:t xml:space="preserve">International Underwriter that is a Covered Entity or a BHC Act Affiliate of such </w:t>
      </w:r>
      <w:r w:rsidRPr="009A09FD" w:rsidR="007559EF">
        <w:rPr>
          <w:snapToGrid w:val="0"/>
        </w:rPr>
        <w:t xml:space="preserve">Joint Sponsors, Overall-Coordinator or </w:t>
      </w:r>
      <w:r w:rsidRPr="009A09FD">
        <w:rPr>
          <w:snapToGrid w:val="0"/>
        </w:rPr>
        <w:t xml:space="preserve">International Underwriter becomes subject to a proceeding under a U.S. Special Resolution Regime, Default Rights under this Agreement that may be exercised against such </w:t>
      </w:r>
      <w:r w:rsidRPr="009A09FD" w:rsidR="007559EF">
        <w:rPr>
          <w:snapToGrid w:val="0"/>
        </w:rPr>
        <w:t xml:space="preserve">Joint Sponsors, Overall-Coordinator or </w:t>
      </w:r>
      <w:r w:rsidRPr="009A09FD">
        <w:rPr>
          <w:snapToGrid w:val="0"/>
        </w:rPr>
        <w:t>International Underwriter are permitted to be exercised to no greater extent than such Default Rights could be exercised under the U.S. Special Resolution Regime if this Agreement were governed by the laws of the United States or a state of the United States.</w:t>
      </w:r>
    </w:p>
    <w:p w:rsidR="00E06B2C" w:rsidRPr="009A09FD" w:rsidP="00DC5454" w14:paraId="13FD3995" w14:textId="563458DF">
      <w:pPr>
        <w:pStyle w:val="BodyText1"/>
        <w:rPr>
          <w:snapToGrid w:val="0"/>
        </w:rPr>
      </w:pPr>
      <w:r w:rsidRPr="009A09FD">
        <w:rPr>
          <w:snapToGrid w:val="0"/>
        </w:rPr>
        <w:t xml:space="preserve">In this Section </w:t>
      </w:r>
      <w:r w:rsidR="00E44AC1">
        <w:rPr>
          <w:snapToGrid w:val="0"/>
        </w:rPr>
        <w:t>25</w:t>
      </w:r>
      <w:r w:rsidRPr="009A09FD">
        <w:rPr>
          <w:snapToGrid w:val="0"/>
        </w:rPr>
        <w:t>:</w:t>
      </w:r>
    </w:p>
    <w:p w:rsidR="00E06B2C" w:rsidRPr="009A09FD" w:rsidP="00DC5454" w14:paraId="7496B7A8" w14:textId="77777777">
      <w:pPr>
        <w:pStyle w:val="BodyText1"/>
        <w:rPr>
          <w:snapToGrid w:val="0"/>
        </w:rPr>
      </w:pPr>
      <w:r w:rsidRPr="009A09FD">
        <w:rPr>
          <w:snapToGrid w:val="0"/>
        </w:rPr>
        <w:t>“</w:t>
      </w:r>
      <w:r w:rsidRPr="009A09FD">
        <w:rPr>
          <w:b/>
          <w:snapToGrid w:val="0"/>
        </w:rPr>
        <w:t>BHC Act Affiliate</w:t>
      </w:r>
      <w:r w:rsidRPr="009A09FD">
        <w:rPr>
          <w:snapToGrid w:val="0"/>
        </w:rPr>
        <w:t>” has the meaning assigned to the term “affiliate” in, and shall be interpreted in accordance with, 12 U.S.C. § 1841(k).</w:t>
      </w:r>
    </w:p>
    <w:p w:rsidR="00E06B2C" w:rsidRPr="009A09FD" w:rsidP="00DC5454" w14:paraId="5510A084" w14:textId="77777777">
      <w:pPr>
        <w:pStyle w:val="BodyText1"/>
        <w:rPr>
          <w:snapToGrid w:val="0"/>
        </w:rPr>
      </w:pPr>
      <w:r w:rsidRPr="009A09FD">
        <w:rPr>
          <w:snapToGrid w:val="0"/>
        </w:rPr>
        <w:t>“</w:t>
      </w:r>
      <w:r w:rsidRPr="009A09FD">
        <w:rPr>
          <w:b/>
          <w:snapToGrid w:val="0"/>
        </w:rPr>
        <w:t>Covered Entity</w:t>
      </w:r>
      <w:r w:rsidRPr="009A09FD">
        <w:rPr>
          <w:snapToGrid w:val="0"/>
        </w:rPr>
        <w:t>” means any of the following:</w:t>
      </w:r>
      <w:r w:rsidRPr="009A09FD">
        <w:rPr>
          <w:rFonts w:hint="eastAsia"/>
          <w:snapToGrid w:val="0"/>
        </w:rPr>
        <w:t xml:space="preserve"> (i) </w:t>
      </w:r>
      <w:r w:rsidRPr="009A09FD">
        <w:rPr>
          <w:snapToGrid w:val="0"/>
        </w:rPr>
        <w:t>a “covered entity” as that term is defined in, and interpreted in accordance with, 12 C.F.R. § 252.82(b)</w:t>
      </w:r>
      <w:r w:rsidRPr="009A09FD">
        <w:rPr>
          <w:rFonts w:hint="eastAsia"/>
          <w:snapToGrid w:val="0"/>
        </w:rPr>
        <w:t xml:space="preserve">; (ii) </w:t>
      </w:r>
      <w:r w:rsidRPr="009A09FD">
        <w:rPr>
          <w:snapToGrid w:val="0"/>
        </w:rPr>
        <w:t>a “covered bank” as that term is defined in, and interpreted in accordance with, 12 C.F.R. § 47.3(b); or</w:t>
      </w:r>
      <w:r w:rsidRPr="009A09FD">
        <w:rPr>
          <w:rFonts w:hint="eastAsia"/>
          <w:snapToGrid w:val="0"/>
        </w:rPr>
        <w:t xml:space="preserve"> (iii) </w:t>
      </w:r>
      <w:r w:rsidRPr="009A09FD">
        <w:rPr>
          <w:snapToGrid w:val="0"/>
        </w:rPr>
        <w:t>a “covered FSI” as that term is defined in, and interpreted in accordance with, 12 C.F.R. § 382.2(b).</w:t>
      </w:r>
    </w:p>
    <w:p w:rsidR="00E06B2C" w:rsidRPr="009A09FD" w:rsidP="00DC5454" w14:paraId="79EAC4C9" w14:textId="77777777">
      <w:pPr>
        <w:pStyle w:val="BodyText1"/>
        <w:rPr>
          <w:snapToGrid w:val="0"/>
        </w:rPr>
      </w:pPr>
      <w:r w:rsidRPr="009A09FD">
        <w:rPr>
          <w:snapToGrid w:val="0"/>
        </w:rPr>
        <w:t>“</w:t>
      </w:r>
      <w:r w:rsidRPr="009A09FD">
        <w:rPr>
          <w:b/>
          <w:snapToGrid w:val="0"/>
        </w:rPr>
        <w:t>Default Right</w:t>
      </w:r>
      <w:r w:rsidRPr="009A09FD">
        <w:rPr>
          <w:snapToGrid w:val="0"/>
        </w:rPr>
        <w:t>” has the meaning assigned to that term in, and shall be interpreted in accordance with, 12 C.F.R. §§ 252.81, 47.2 or 382.1, as applicable.</w:t>
      </w:r>
    </w:p>
    <w:p w:rsidR="00E06B2C" w:rsidRPr="009A09FD" w:rsidP="00DC5454" w14:paraId="3E8C553F" w14:textId="77777777">
      <w:pPr>
        <w:pStyle w:val="BodyText1"/>
        <w:rPr>
          <w:snapToGrid w:val="0"/>
        </w:rPr>
      </w:pPr>
      <w:r w:rsidRPr="009A09FD">
        <w:rPr>
          <w:snapToGrid w:val="0"/>
        </w:rPr>
        <w:t>“</w:t>
      </w:r>
      <w:r w:rsidRPr="009A09FD">
        <w:rPr>
          <w:b/>
          <w:snapToGrid w:val="0"/>
        </w:rPr>
        <w:t>U.S. Special Resolution Regime</w:t>
      </w:r>
      <w:r w:rsidRPr="009A09FD">
        <w:rPr>
          <w:snapToGrid w:val="0"/>
        </w:rPr>
        <w:t xml:space="preserve">” means each of (i) the Federal Deposit Insurance Act and the regulations promulgated thereunder and (ii) Title II of the Dodd-Frank Wall Street Reform and Consumer Protection Act and the regulations promulgated thereunder. </w:t>
      </w:r>
    </w:p>
    <w:p w:rsidR="00E06B2C" w:rsidRPr="00A469A2" w:rsidP="00DC5454" w14:paraId="07EDA3CC" w14:textId="19BFBBFE">
      <w:pPr>
        <w:pStyle w:val="BodyText1"/>
        <w:rPr>
          <w:snapToGrid w:val="0"/>
          <w:lang w:bidi="he-IL"/>
        </w:rPr>
      </w:pPr>
      <w:r w:rsidRPr="009A09FD">
        <w:rPr>
          <w:snapToGrid w:val="0"/>
        </w:rPr>
        <w:t xml:space="preserve">If the foregoing correctly sets forth the understanding between the Company, </w:t>
      </w:r>
      <w:r w:rsidRPr="009A09FD" w:rsidR="00E45FC8">
        <w:rPr>
          <w:snapToGrid w:val="0"/>
        </w:rPr>
        <w:t xml:space="preserve">the </w:t>
      </w:r>
      <w:r w:rsidRPr="009A09FD" w:rsidR="00EE2FE6">
        <w:rPr>
          <w:snapToGrid w:val="0"/>
        </w:rPr>
        <w:t>Warranting Shareholders</w:t>
      </w:r>
      <w:r w:rsidRPr="009A09FD">
        <w:rPr>
          <w:snapToGrid w:val="0"/>
        </w:rPr>
        <w:t xml:space="preserve"> and the </w:t>
      </w:r>
      <w:r w:rsidRPr="009A09FD" w:rsidR="005931E2">
        <w:rPr>
          <w:snapToGrid w:val="0"/>
        </w:rPr>
        <w:t>Overall Coordinators</w:t>
      </w:r>
      <w:r w:rsidRPr="009A09FD" w:rsidR="00475949">
        <w:rPr>
          <w:snapToGrid w:val="0"/>
        </w:rPr>
        <w:t>, the Joint Sponsors,</w:t>
      </w:r>
      <w:r w:rsidRPr="009A09FD" w:rsidR="0010792D">
        <w:rPr>
          <w:snapToGrid w:val="0"/>
        </w:rPr>
        <w:t xml:space="preserve"> the Sponsor-OC, </w:t>
      </w:r>
      <w:r w:rsidRPr="009A09FD" w:rsidR="00F44DE3">
        <w:rPr>
          <w:snapToGrid w:val="0"/>
        </w:rPr>
        <w:t xml:space="preserve">the </w:t>
      </w:r>
      <w:r w:rsidRPr="009A09FD">
        <w:rPr>
          <w:snapToGrid w:val="0"/>
        </w:rPr>
        <w:t xml:space="preserve">Joint Global Coordinators, </w:t>
      </w:r>
      <w:r w:rsidRPr="009A09FD" w:rsidR="00F44DE3">
        <w:rPr>
          <w:snapToGrid w:val="0"/>
        </w:rPr>
        <w:t xml:space="preserve">the </w:t>
      </w:r>
      <w:r w:rsidRPr="009A09FD">
        <w:rPr>
          <w:snapToGrid w:val="0"/>
        </w:rPr>
        <w:t>Joint Bookrunners</w:t>
      </w:r>
      <w:r w:rsidRPr="009A09FD" w:rsidR="0010792D">
        <w:rPr>
          <w:snapToGrid w:val="0"/>
        </w:rPr>
        <w:t>, the CMIs</w:t>
      </w:r>
      <w:r w:rsidRPr="009A09FD" w:rsidR="00963753">
        <w:rPr>
          <w:snapToGrid w:val="0"/>
        </w:rPr>
        <w:t xml:space="preserve"> </w:t>
      </w:r>
      <w:r w:rsidRPr="009A09FD">
        <w:rPr>
          <w:snapToGrid w:val="0"/>
        </w:rPr>
        <w:t xml:space="preserve">and </w:t>
      </w:r>
      <w:r w:rsidR="00D6519D">
        <w:rPr>
          <w:snapToGrid w:val="0"/>
        </w:rPr>
        <w:t xml:space="preserve">the </w:t>
      </w:r>
      <w:r w:rsidRPr="009A09FD">
        <w:rPr>
          <w:snapToGrid w:val="0"/>
        </w:rPr>
        <w:t>International Underwriters, please sign in the space provided below for that purpose, whereupon this Agreement and your acceptance shall become a binding agreement between the Company</w:t>
      </w:r>
      <w:r w:rsidR="00D6519D">
        <w:rPr>
          <w:snapToGrid w:val="0"/>
        </w:rPr>
        <w:t>,</w:t>
      </w:r>
      <w:r w:rsidRPr="009A09FD" w:rsidR="0045415C">
        <w:rPr>
          <w:snapToGrid w:val="0"/>
        </w:rPr>
        <w:t xml:space="preserve"> the </w:t>
      </w:r>
      <w:r w:rsidRPr="009A09FD" w:rsidR="00EE2FE6">
        <w:rPr>
          <w:snapToGrid w:val="0"/>
        </w:rPr>
        <w:t xml:space="preserve">Warranting Shareholders </w:t>
      </w:r>
      <w:r w:rsidRPr="009A09FD">
        <w:rPr>
          <w:snapToGrid w:val="0"/>
        </w:rPr>
        <w:t xml:space="preserve">and </w:t>
      </w:r>
      <w:r w:rsidRPr="009A09FD" w:rsidR="00F44DE3">
        <w:rPr>
          <w:snapToGrid w:val="0"/>
        </w:rPr>
        <w:t xml:space="preserve">the </w:t>
      </w:r>
      <w:r w:rsidRPr="009A09FD" w:rsidR="00475949">
        <w:rPr>
          <w:snapToGrid w:val="0"/>
        </w:rPr>
        <w:t>Overall Coordinators</w:t>
      </w:r>
      <w:r w:rsidRPr="009A09FD">
        <w:rPr>
          <w:snapToGrid w:val="0"/>
        </w:rPr>
        <w:t xml:space="preserve">, </w:t>
      </w:r>
      <w:r w:rsidRPr="009A09FD" w:rsidR="00F44DE3">
        <w:rPr>
          <w:snapToGrid w:val="0"/>
        </w:rPr>
        <w:t xml:space="preserve">the </w:t>
      </w:r>
      <w:r w:rsidRPr="009A09FD" w:rsidR="00475949">
        <w:rPr>
          <w:snapToGrid w:val="0"/>
        </w:rPr>
        <w:t>Joint</w:t>
      </w:r>
      <w:r w:rsidRPr="009A09FD" w:rsidR="00F44DE3">
        <w:rPr>
          <w:snapToGrid w:val="0"/>
        </w:rPr>
        <w:t xml:space="preserve"> Sponsor</w:t>
      </w:r>
      <w:r w:rsidRPr="009A09FD" w:rsidR="00475949">
        <w:rPr>
          <w:snapToGrid w:val="0"/>
        </w:rPr>
        <w:t>s</w:t>
      </w:r>
      <w:r w:rsidRPr="009A09FD" w:rsidR="00F44DE3">
        <w:rPr>
          <w:snapToGrid w:val="0"/>
        </w:rPr>
        <w:t xml:space="preserve">, </w:t>
      </w:r>
      <w:r w:rsidRPr="009A09FD" w:rsidR="0010792D">
        <w:rPr>
          <w:snapToGrid w:val="0"/>
        </w:rPr>
        <w:t xml:space="preserve">the Sponsor-OC, </w:t>
      </w:r>
      <w:r w:rsidRPr="009A09FD">
        <w:rPr>
          <w:snapToGrid w:val="0"/>
        </w:rPr>
        <w:t>the Joint Global Coordinators, the Joint Bookr</w:t>
      </w:r>
      <w:r w:rsidRPr="009A09FD" w:rsidR="00F44DE3">
        <w:rPr>
          <w:snapToGrid w:val="0"/>
        </w:rPr>
        <w:t>unners, the Joint Lead Managers</w:t>
      </w:r>
      <w:r w:rsidRPr="009A09FD" w:rsidR="00815282">
        <w:rPr>
          <w:snapToGrid w:val="0"/>
        </w:rPr>
        <w:t>, the CMIs</w:t>
      </w:r>
      <w:r w:rsidRPr="009A09FD" w:rsidR="00F44DE3">
        <w:rPr>
          <w:snapToGrid w:val="0"/>
        </w:rPr>
        <w:t xml:space="preserve"> and</w:t>
      </w:r>
      <w:r w:rsidRPr="009A09FD">
        <w:rPr>
          <w:snapToGrid w:val="0"/>
        </w:rPr>
        <w:t xml:space="preserve"> the International Underwriters, severally.</w:t>
      </w:r>
    </w:p>
    <w:p w:rsidR="001C5107" w:rsidRPr="00A469A2" w:rsidP="00DC5454" w14:paraId="6A010A0B" w14:textId="77777777">
      <w:pPr>
        <w:pStyle w:val="BodyText0"/>
        <w:jc w:val="center"/>
        <w:rPr>
          <w:snapToGrid w:val="0"/>
        </w:rPr>
      </w:pPr>
      <w:r w:rsidRPr="00A469A2">
        <w:rPr>
          <w:snapToGrid w:val="0"/>
        </w:rPr>
        <w:t>[</w:t>
      </w:r>
      <w:r w:rsidRPr="00741AF6">
        <w:rPr>
          <w:b/>
          <w:i/>
          <w:snapToGrid w:val="0"/>
        </w:rPr>
        <w:t>Signature pages to follow</w:t>
      </w:r>
      <w:r w:rsidRPr="00A469A2">
        <w:rPr>
          <w:snapToGrid w:val="0"/>
        </w:rPr>
        <w:t>]</w:t>
      </w:r>
    </w:p>
    <w:p w:rsidR="001C5107" w:rsidRPr="00A469A2" w:rsidP="00A469A2" w14:paraId="44EB31F2" w14:textId="40FD5176">
      <w:pPr>
        <w:pStyle w:val="BodyText0"/>
        <w:rPr>
          <w:snapToGrid w:val="0"/>
        </w:rPr>
      </w:pPr>
    </w:p>
    <w:p w:rsidR="001C5107" w:rsidRPr="00A469A2" w:rsidP="00DC5454" w14:paraId="0DE7E49D" w14:textId="77777777">
      <w:pPr>
        <w:pStyle w:val="BodyText0"/>
        <w:pageBreakBefore/>
        <w:rPr>
          <w:snapToGrid w:val="0"/>
        </w:rPr>
      </w:pPr>
      <w:r w:rsidRPr="00A469A2">
        <w:rPr>
          <w:snapToGrid w:val="0"/>
        </w:rPr>
        <w:t>Very truly yours,</w:t>
      </w:r>
    </w:p>
    <w:p w:rsidR="001C5107" w:rsidRPr="00A469A2" w:rsidP="00A469A2" w14:paraId="143A0A65" w14:textId="77777777">
      <w:pPr>
        <w:pStyle w:val="BodyText0"/>
        <w:rPr>
          <w:snapToGrid w:val="0"/>
        </w:rPr>
      </w:pPr>
      <w:r w:rsidRPr="00A469A2">
        <w:rPr>
          <w:snapToGrid w:val="0"/>
        </w:rPr>
        <w:t>For and on behalf of</w:t>
      </w:r>
    </w:p>
    <w:p w:rsidR="001C5107" w:rsidRPr="00265E03" w:rsidP="00DC5454" w14:paraId="7B39A101" w14:textId="70B9EFCD">
      <w:pPr>
        <w:pStyle w:val="BodyText0Bold"/>
        <w:rPr>
          <w:snapToGrid w:val="0"/>
          <w:lang w:eastAsia="zh-TW"/>
        </w:rPr>
      </w:pPr>
      <w:r w:rsidRPr="00265E03">
        <w:rPr>
          <w:snapToGrid w:val="0"/>
        </w:rPr>
        <w:t>[INSERT NAME OF ISSUER]</w:t>
      </w:r>
    </w:p>
    <w:p w:rsidR="001C5107" w:rsidP="00A469A2" w14:paraId="6CE2975A" w14:textId="3DD9836E">
      <w:pPr>
        <w:pStyle w:val="BodyText0"/>
        <w:rPr>
          <w:snapToGrid w:val="0"/>
          <w:lang w:eastAsia="zh-TW"/>
        </w:rPr>
      </w:pPr>
    </w:p>
    <w:p w:rsidR="00DC5454" w:rsidRPr="00A469A2" w:rsidP="00A469A2" w14:paraId="5C93D9C4" w14:textId="77777777">
      <w:pPr>
        <w:pStyle w:val="BodyText0"/>
        <w:rPr>
          <w:snapToGrid w:val="0"/>
          <w:lang w:eastAsia="zh-TW"/>
        </w:rPr>
      </w:pPr>
    </w:p>
    <w:p w:rsidR="001C5107" w:rsidRPr="00A469A2" w:rsidP="00A469A2" w14:paraId="4BD5386D" w14:textId="77777777">
      <w:pPr>
        <w:pStyle w:val="BodyText0"/>
        <w:rPr>
          <w:snapToGrid w:val="0"/>
          <w:lang w:eastAsia="zh-TW"/>
        </w:rPr>
      </w:pPr>
    </w:p>
    <w:p w:rsidR="001C5107" w:rsidRPr="00A469A2" w:rsidP="00DC5454" w14:paraId="4DE29A9E" w14:textId="51350E34">
      <w:pPr>
        <w:pStyle w:val="BodyText0Singleline"/>
        <w:spacing w:after="60"/>
        <w:rPr>
          <w:snapToGrid w:val="0"/>
        </w:rPr>
      </w:pPr>
      <w:r w:rsidRPr="00A469A2">
        <w:rPr>
          <w:snapToGrid w:val="0"/>
        </w:rPr>
        <w:t>By:</w:t>
      </w:r>
      <w:r w:rsidR="00DC5454">
        <w:rPr>
          <w:snapToGrid w:val="0"/>
        </w:rPr>
        <w:t xml:space="preserve"> ____________________________</w:t>
      </w:r>
    </w:p>
    <w:p w:rsidR="001C5107" w:rsidRPr="00A469A2" w:rsidP="00DC5454" w14:paraId="09528441" w14:textId="77777777">
      <w:pPr>
        <w:pStyle w:val="BodyText0Singleline"/>
        <w:spacing w:after="60"/>
        <w:rPr>
          <w:snapToGrid w:val="0"/>
        </w:rPr>
      </w:pPr>
      <w:r w:rsidRPr="00A469A2">
        <w:rPr>
          <w:snapToGrid w:val="0"/>
        </w:rPr>
        <w:t>Name:</w:t>
      </w:r>
    </w:p>
    <w:p w:rsidR="001C5107" w:rsidRPr="00A469A2" w:rsidP="00A469A2" w14:paraId="3DA877D2" w14:textId="77777777">
      <w:pPr>
        <w:pStyle w:val="BodyText0"/>
        <w:rPr>
          <w:snapToGrid w:val="0"/>
        </w:rPr>
      </w:pPr>
      <w:r w:rsidRPr="00A469A2">
        <w:rPr>
          <w:snapToGrid w:val="0"/>
        </w:rPr>
        <w:t>Title:</w:t>
      </w:r>
    </w:p>
    <w:p w:rsidR="00445D59" w:rsidP="00A469A2" w14:paraId="7DFA450E" w14:textId="66E49769">
      <w:pPr>
        <w:pStyle w:val="BodyText0"/>
        <w:rPr>
          <w:snapToGrid w:val="0"/>
        </w:rPr>
      </w:pPr>
    </w:p>
    <w:p w:rsidR="00B07E39" w:rsidRPr="00DC5454" w:rsidP="00B07E39" w14:paraId="68FE8156" w14:textId="77777777">
      <w:pPr>
        <w:pStyle w:val="BodyText0"/>
        <w:pageBreakBefore/>
      </w:pPr>
      <w:r w:rsidRPr="00DC5454">
        <w:t>For and on behalf of</w:t>
      </w:r>
    </w:p>
    <w:p w:rsidR="00B07E39" w:rsidRPr="00B0738C" w:rsidP="00B07E39" w14:paraId="515660D8" w14:textId="2B45F64D">
      <w:pPr>
        <w:pStyle w:val="BodyText0"/>
        <w:rPr>
          <w:bCs/>
          <w:snapToGrid w:val="0"/>
        </w:rPr>
      </w:pPr>
      <w:r w:rsidRPr="00B0738C">
        <w:rPr>
          <w:bCs/>
          <w:snapToGrid w:val="0"/>
          <w:szCs w:val="22"/>
          <w:lang w:eastAsia="zh-TW"/>
        </w:rPr>
        <w:t>[</w:t>
      </w:r>
      <w:r w:rsidRPr="00B0738C">
        <w:rPr>
          <w:bCs/>
          <w:snapToGrid w:val="0"/>
          <w:szCs w:val="22"/>
          <w:highlight w:val="yellow"/>
          <w:lang w:eastAsia="zh-TW"/>
        </w:rPr>
        <w:t>Insert signature blocks of other signing parties</w:t>
      </w:r>
      <w:r w:rsidRPr="00B0738C">
        <w:rPr>
          <w:bCs/>
          <w:snapToGrid w:val="0"/>
          <w:szCs w:val="22"/>
          <w:lang w:eastAsia="zh-TW"/>
        </w:rPr>
        <w:t>]</w:t>
      </w:r>
    </w:p>
    <w:p w:rsidR="00B07E39" w:rsidRPr="00A469A2" w:rsidP="00B07E39" w14:paraId="79CE15FB" w14:textId="77777777">
      <w:pPr>
        <w:pStyle w:val="BodyText0"/>
        <w:rPr>
          <w:snapToGrid w:val="0"/>
        </w:rPr>
      </w:pPr>
    </w:p>
    <w:p w:rsidR="00B07E39" w:rsidRPr="00A469A2" w:rsidP="00B07E39" w14:paraId="016E37A3" w14:textId="77777777">
      <w:pPr>
        <w:pStyle w:val="BodyText0"/>
        <w:rPr>
          <w:snapToGrid w:val="0"/>
        </w:rPr>
      </w:pPr>
    </w:p>
    <w:p w:rsidR="001C5107" w:rsidRPr="00B0738C" w:rsidP="00C328E4" w14:paraId="765EA69D" w14:textId="40AA8189">
      <w:pPr>
        <w:pStyle w:val="BodyText0"/>
        <w:pageBreakBefore/>
        <w:jc w:val="center"/>
      </w:pPr>
      <w:r w:rsidRPr="00B0738C">
        <w:t>[</w:t>
      </w:r>
      <w:r w:rsidRPr="00B0738C">
        <w:rPr>
          <w:i/>
          <w:iCs/>
          <w:highlight w:val="yellow"/>
        </w:rPr>
        <w:t>Signature pages for the Underwriters to be circulated separately</w:t>
      </w:r>
      <w:r w:rsidRPr="00B0738C">
        <w:t>]</w:t>
      </w:r>
    </w:p>
    <w:p w:rsidR="00C328E4" w:rsidP="00A469A2" w14:paraId="00E8EAD7" w14:textId="77777777">
      <w:pPr>
        <w:pStyle w:val="BodyText0"/>
        <w:rPr>
          <w:snapToGrid w:val="0"/>
        </w:rPr>
      </w:pPr>
      <w:bookmarkStart w:id="254" w:name="_Ref517408006"/>
      <w:bookmarkStart w:id="255" w:name="_Ref517408010"/>
      <w:bookmarkStart w:id="256" w:name="_Ref517408033"/>
      <w:bookmarkStart w:id="257" w:name="_Ref517408036"/>
      <w:bookmarkStart w:id="258" w:name="_Ref517408086"/>
      <w:bookmarkStart w:id="259" w:name="_Ref517408090"/>
      <w:bookmarkStart w:id="260" w:name="_Toc517409056"/>
      <w:bookmarkStart w:id="261" w:name="_Toc72862723"/>
    </w:p>
    <w:p w:rsidR="00C328E4" w:rsidP="00C328E4" w14:paraId="673A5BD3" w14:textId="77777777">
      <w:pPr>
        <w:pStyle w:val="Schedule"/>
        <w:rPr>
          <w:snapToGrid w:val="0"/>
        </w:rPr>
      </w:pPr>
      <w:bookmarkStart w:id="262" w:name="_Ref155101112"/>
    </w:p>
    <w:p w:rsidR="00C328E4" w:rsidP="00C328E4" w14:paraId="09CE3E69" w14:textId="77777777">
      <w:pPr>
        <w:pStyle w:val="SchedulePart"/>
        <w:rPr>
          <w:snapToGrid w:val="0"/>
        </w:rPr>
      </w:pPr>
      <w:bookmarkStart w:id="263" w:name="_Ref155101331"/>
      <w:bookmarkEnd w:id="262"/>
    </w:p>
    <w:bookmarkEnd w:id="254"/>
    <w:bookmarkEnd w:id="255"/>
    <w:bookmarkEnd w:id="256"/>
    <w:bookmarkEnd w:id="257"/>
    <w:bookmarkEnd w:id="258"/>
    <w:bookmarkEnd w:id="259"/>
    <w:bookmarkEnd w:id="260"/>
    <w:bookmarkEnd w:id="261"/>
    <w:bookmarkEnd w:id="263"/>
    <w:p w:rsidR="001C5107" w:rsidRPr="00A469A2" w:rsidP="00C328E4" w14:paraId="282AC9B3" w14:textId="6BAE8BDD">
      <w:pPr>
        <w:pStyle w:val="SchedulePartTitle"/>
        <w:rPr>
          <w:snapToGrid w:val="0"/>
        </w:rPr>
      </w:pPr>
      <w:r w:rsidRPr="00A469A2">
        <w:rPr>
          <w:snapToGrid w:val="0"/>
        </w:rPr>
        <w:t>number of firm shares purchased by international underwriters</w:t>
      </w:r>
    </w:p>
    <w:tbl>
      <w:tblPr>
        <w:tblW w:w="5130" w:type="pct"/>
        <w:tblInd w:w="-115" w:type="dxa"/>
        <w:tblLayout w:type="fixed"/>
        <w:tblLook w:val="04A0"/>
      </w:tblPr>
      <w:tblGrid>
        <w:gridCol w:w="4435"/>
        <w:gridCol w:w="2413"/>
        <w:gridCol w:w="2413"/>
      </w:tblGrid>
      <w:tr w14:paraId="2BC2B1F4" w14:textId="77777777" w:rsidTr="00C328E4">
        <w:tblPrEx>
          <w:tblW w:w="5130" w:type="pct"/>
          <w:tblInd w:w="-115" w:type="dxa"/>
          <w:tblLayout w:type="fixed"/>
          <w:tblLook w:val="04A0"/>
        </w:tblPrEx>
        <w:tc>
          <w:tcPr>
            <w:tcW w:w="4435" w:type="dxa"/>
            <w:vAlign w:val="bottom"/>
          </w:tcPr>
          <w:p w:rsidR="001C5107" w:rsidRPr="00C328E4" w:rsidP="00C328E4" w14:paraId="0C88AAD4" w14:textId="77777777">
            <w:pPr>
              <w:pStyle w:val="TableTitle1"/>
              <w:jc w:val="left"/>
              <w:rPr>
                <w:snapToGrid w:val="0"/>
                <w:sz w:val="22"/>
                <w:szCs w:val="28"/>
              </w:rPr>
            </w:pPr>
            <w:r w:rsidRPr="00C328E4">
              <w:rPr>
                <w:snapToGrid w:val="0"/>
                <w:sz w:val="22"/>
                <w:szCs w:val="28"/>
              </w:rPr>
              <w:t>International Underwriters</w:t>
            </w:r>
          </w:p>
        </w:tc>
        <w:tc>
          <w:tcPr>
            <w:tcW w:w="2413" w:type="dxa"/>
            <w:vAlign w:val="bottom"/>
          </w:tcPr>
          <w:p w:rsidR="001C5107" w:rsidRPr="00C328E4" w:rsidP="00C328E4" w14:paraId="720E2F79" w14:textId="66E48651">
            <w:pPr>
              <w:pStyle w:val="TableTitle1"/>
              <w:rPr>
                <w:snapToGrid w:val="0"/>
                <w:sz w:val="22"/>
                <w:szCs w:val="28"/>
              </w:rPr>
            </w:pPr>
            <w:r w:rsidRPr="00C328E4">
              <w:rPr>
                <w:snapToGrid w:val="0"/>
                <w:sz w:val="22"/>
                <w:szCs w:val="28"/>
              </w:rPr>
              <w:t xml:space="preserve">Number of Firm Shares </w:t>
            </w:r>
          </w:p>
        </w:tc>
        <w:tc>
          <w:tcPr>
            <w:tcW w:w="2413" w:type="dxa"/>
            <w:vAlign w:val="bottom"/>
          </w:tcPr>
          <w:p w:rsidR="001C5107" w:rsidRPr="00C328E4" w:rsidP="00C328E4" w14:paraId="25403875" w14:textId="6801CF14">
            <w:pPr>
              <w:pStyle w:val="TableTitle1"/>
              <w:rPr>
                <w:snapToGrid w:val="0"/>
                <w:sz w:val="22"/>
                <w:szCs w:val="28"/>
              </w:rPr>
            </w:pPr>
            <w:r w:rsidRPr="00C328E4">
              <w:rPr>
                <w:snapToGrid w:val="0"/>
                <w:sz w:val="22"/>
                <w:szCs w:val="28"/>
              </w:rPr>
              <w:t xml:space="preserve">Percentage of Firm Shares </w:t>
            </w:r>
          </w:p>
        </w:tc>
      </w:tr>
      <w:tr w14:paraId="03E99F38" w14:textId="77777777" w:rsidTr="00C328E4">
        <w:tblPrEx>
          <w:tblW w:w="5130" w:type="pct"/>
          <w:tblInd w:w="-115" w:type="dxa"/>
          <w:tblLayout w:type="fixed"/>
          <w:tblLook w:val="04A0"/>
        </w:tblPrEx>
        <w:tc>
          <w:tcPr>
            <w:tcW w:w="4435" w:type="dxa"/>
          </w:tcPr>
          <w:p w:rsidR="009858F1" w:rsidRPr="00265E03" w:rsidP="009858F1" w14:paraId="6731A21F" w14:textId="756582F6">
            <w:pPr>
              <w:pStyle w:val="TableBody"/>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name of underwriter]</w:t>
            </w:r>
          </w:p>
        </w:tc>
        <w:tc>
          <w:tcPr>
            <w:tcW w:w="2413" w:type="dxa"/>
          </w:tcPr>
          <w:p w:rsidR="009858F1" w:rsidRPr="00265E03" w:rsidP="009858F1" w14:paraId="76258036" w14:textId="06C57D22">
            <w:pPr>
              <w:pStyle w:val="TableBody"/>
              <w:jc w:val="right"/>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the number of Firm Shares for such underwriter]</w:t>
            </w:r>
          </w:p>
        </w:tc>
        <w:tc>
          <w:tcPr>
            <w:tcW w:w="2413" w:type="dxa"/>
          </w:tcPr>
          <w:p w:rsidR="009858F1" w:rsidRPr="00265E03" w:rsidP="009858F1" w14:paraId="17B4889D" w14:textId="585AC3C0">
            <w:pPr>
              <w:pStyle w:val="TableBody"/>
              <w:jc w:val="right"/>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the percentage of Firm Shares for such underwriter]</w:t>
            </w:r>
          </w:p>
        </w:tc>
      </w:tr>
      <w:tr w14:paraId="7C85FF4F" w14:textId="77777777" w:rsidTr="00C328E4">
        <w:tblPrEx>
          <w:tblW w:w="5130" w:type="pct"/>
          <w:tblInd w:w="-115" w:type="dxa"/>
          <w:tblLayout w:type="fixed"/>
          <w:tblLook w:val="04A0"/>
        </w:tblPrEx>
        <w:tc>
          <w:tcPr>
            <w:tcW w:w="4435" w:type="dxa"/>
          </w:tcPr>
          <w:p w:rsidR="00D73580" w:rsidRPr="00C328E4" w:rsidP="00C328E4" w14:paraId="104CFB33" w14:textId="4E5F1DF0">
            <w:pPr>
              <w:pStyle w:val="TableBody"/>
              <w:rPr>
                <w:snapToGrid w:val="0"/>
                <w:sz w:val="22"/>
                <w:szCs w:val="28"/>
              </w:rPr>
            </w:pPr>
          </w:p>
        </w:tc>
        <w:tc>
          <w:tcPr>
            <w:tcW w:w="2413" w:type="dxa"/>
          </w:tcPr>
          <w:p w:rsidR="00D73580" w:rsidRPr="00C328E4" w:rsidP="00C328E4" w14:paraId="744D8E31" w14:textId="320C59CE">
            <w:pPr>
              <w:pStyle w:val="TableBody"/>
              <w:jc w:val="right"/>
              <w:rPr>
                <w:snapToGrid w:val="0"/>
                <w:sz w:val="22"/>
                <w:szCs w:val="28"/>
              </w:rPr>
            </w:pPr>
          </w:p>
        </w:tc>
        <w:tc>
          <w:tcPr>
            <w:tcW w:w="2413" w:type="dxa"/>
          </w:tcPr>
          <w:p w:rsidR="00D73580" w:rsidRPr="00C328E4" w:rsidP="00C328E4" w14:paraId="5E54F69E" w14:textId="1EDDF09B">
            <w:pPr>
              <w:pStyle w:val="TableBody"/>
              <w:jc w:val="right"/>
              <w:rPr>
                <w:snapToGrid w:val="0"/>
                <w:sz w:val="22"/>
                <w:szCs w:val="28"/>
              </w:rPr>
            </w:pPr>
          </w:p>
        </w:tc>
      </w:tr>
      <w:tr w14:paraId="5836ACFE" w14:textId="77777777" w:rsidTr="00C328E4">
        <w:tblPrEx>
          <w:tblW w:w="5130" w:type="pct"/>
          <w:tblInd w:w="-115" w:type="dxa"/>
          <w:tblLayout w:type="fixed"/>
          <w:tblLook w:val="04A0"/>
        </w:tblPrEx>
        <w:tc>
          <w:tcPr>
            <w:tcW w:w="4435" w:type="dxa"/>
          </w:tcPr>
          <w:p w:rsidR="001C5107" w:rsidRPr="00C328E4" w:rsidP="00C328E4" w14:paraId="04E53F7B" w14:textId="7E8DEA79">
            <w:pPr>
              <w:pStyle w:val="TableBody"/>
              <w:rPr>
                <w:b/>
                <w:bCs/>
                <w:snapToGrid w:val="0"/>
                <w:sz w:val="22"/>
                <w:szCs w:val="28"/>
              </w:rPr>
            </w:pPr>
            <w:r w:rsidRPr="00C328E4">
              <w:rPr>
                <w:rFonts w:hint="eastAsia"/>
                <w:b/>
                <w:bCs/>
                <w:snapToGrid w:val="0"/>
                <w:sz w:val="22"/>
                <w:szCs w:val="28"/>
              </w:rPr>
              <w:t>Total</w:t>
            </w:r>
          </w:p>
        </w:tc>
        <w:tc>
          <w:tcPr>
            <w:tcW w:w="2413" w:type="dxa"/>
          </w:tcPr>
          <w:p w:rsidR="001C5107" w:rsidRPr="00C328E4" w:rsidP="00C328E4" w14:paraId="69C1102C" w14:textId="436429B3">
            <w:pPr>
              <w:pStyle w:val="TableTotal"/>
              <w:jc w:val="right"/>
              <w:rPr>
                <w:b/>
                <w:bCs/>
                <w:snapToGrid w:val="0"/>
                <w:sz w:val="22"/>
                <w:szCs w:val="28"/>
              </w:rPr>
            </w:pPr>
          </w:p>
        </w:tc>
        <w:tc>
          <w:tcPr>
            <w:tcW w:w="2413" w:type="dxa"/>
          </w:tcPr>
          <w:p w:rsidR="001C5107" w:rsidRPr="00C328E4" w:rsidP="00C328E4" w14:paraId="2E96548F" w14:textId="00013D29">
            <w:pPr>
              <w:pStyle w:val="TableTotal"/>
              <w:jc w:val="right"/>
              <w:rPr>
                <w:b/>
                <w:bCs/>
                <w:snapToGrid w:val="0"/>
                <w:sz w:val="22"/>
                <w:szCs w:val="28"/>
              </w:rPr>
            </w:pPr>
            <w:r>
              <w:rPr>
                <w:b/>
                <w:bCs/>
                <w:snapToGrid w:val="0"/>
                <w:sz w:val="22"/>
                <w:szCs w:val="28"/>
              </w:rPr>
              <w:t>100.00%</w:t>
            </w:r>
          </w:p>
        </w:tc>
      </w:tr>
    </w:tbl>
    <w:p w:rsidR="001C5107" w:rsidP="00A469A2" w14:paraId="44976B35" w14:textId="7D71BF7F">
      <w:pPr>
        <w:pStyle w:val="BodyText0"/>
        <w:rPr>
          <w:snapToGrid w:val="0"/>
        </w:rPr>
      </w:pPr>
    </w:p>
    <w:p w:rsidR="00C328E4" w:rsidRPr="00A469A2" w:rsidP="00C328E4" w14:paraId="0FCC6ABE" w14:textId="77777777">
      <w:pPr>
        <w:pStyle w:val="SchedulePart"/>
        <w:pageBreakBefore/>
        <w:rPr>
          <w:snapToGrid w:val="0"/>
        </w:rPr>
      </w:pPr>
      <w:bookmarkStart w:id="264" w:name="_Ref155102038"/>
    </w:p>
    <w:bookmarkEnd w:id="264"/>
    <w:p w:rsidR="002C42E5" w:rsidRPr="00A469A2" w:rsidP="002C42E5" w14:paraId="5BDCF61C" w14:textId="0670CDAE">
      <w:pPr>
        <w:pStyle w:val="SchedulePartTitle"/>
        <w:rPr>
          <w:snapToGrid w:val="0"/>
        </w:rPr>
      </w:pPr>
      <w:r w:rsidRPr="00A469A2">
        <w:rPr>
          <w:snapToGrid w:val="0"/>
        </w:rPr>
        <w:t xml:space="preserve">ENTITLEMENTS TO DISCRETIONARY INCENTIVE FEE IN RELATION TO THE </w:t>
      </w:r>
      <w:r w:rsidR="00056B40">
        <w:rPr>
          <w:snapToGrid w:val="0"/>
        </w:rPr>
        <w:t xml:space="preserve">Hong Kong Offer Shares and the </w:t>
      </w:r>
      <w:r w:rsidRPr="00A469A2">
        <w:rPr>
          <w:snapToGrid w:val="0"/>
        </w:rPr>
        <w:t>FIRM SHARES</w:t>
      </w:r>
      <w:r>
        <w:rPr>
          <w:snapToGrid w:val="0"/>
        </w:rPr>
        <w:t xml:space="preserve"> (including each Unsold Share reallocated to the International Offering)</w:t>
      </w:r>
    </w:p>
    <w:p w:rsidR="000F30D9" w:rsidRPr="00A469A2" w:rsidP="00C328E4" w14:paraId="6B51FA1F" w14:textId="46DA6AD6">
      <w:pPr>
        <w:pStyle w:val="SchedulePartTitle"/>
        <w:rPr>
          <w:snapToGrid w:val="0"/>
        </w:rPr>
      </w:pPr>
    </w:p>
    <w:tbl>
      <w:tblPr>
        <w:tblW w:w="5130" w:type="pct"/>
        <w:tblInd w:w="-115" w:type="dxa"/>
        <w:tblLayout w:type="fixed"/>
        <w:tblLook w:val="04A0"/>
      </w:tblPr>
      <w:tblGrid>
        <w:gridCol w:w="4435"/>
        <w:gridCol w:w="2413"/>
        <w:gridCol w:w="2413"/>
      </w:tblGrid>
      <w:tr w14:paraId="1DF15F51" w14:textId="77777777" w:rsidTr="00C328E4">
        <w:tblPrEx>
          <w:tblW w:w="5130" w:type="pct"/>
          <w:tblInd w:w="-115" w:type="dxa"/>
          <w:tblLayout w:type="fixed"/>
          <w:tblLook w:val="04A0"/>
        </w:tblPrEx>
        <w:tc>
          <w:tcPr>
            <w:tcW w:w="4435" w:type="dxa"/>
            <w:vAlign w:val="bottom"/>
          </w:tcPr>
          <w:p w:rsidR="000F30D9" w:rsidRPr="00C328E4" w:rsidP="00C328E4" w14:paraId="42F5646F" w14:textId="77777777">
            <w:pPr>
              <w:pStyle w:val="TableTitle1"/>
              <w:jc w:val="left"/>
              <w:rPr>
                <w:snapToGrid w:val="0"/>
                <w:sz w:val="22"/>
                <w:szCs w:val="28"/>
              </w:rPr>
            </w:pPr>
            <w:r w:rsidRPr="00C328E4">
              <w:rPr>
                <w:snapToGrid w:val="0"/>
                <w:sz w:val="22"/>
                <w:szCs w:val="28"/>
              </w:rPr>
              <w:t>International Underwriters</w:t>
            </w:r>
          </w:p>
        </w:tc>
        <w:tc>
          <w:tcPr>
            <w:tcW w:w="2413" w:type="dxa"/>
            <w:vAlign w:val="bottom"/>
          </w:tcPr>
          <w:p w:rsidR="000F30D9" w:rsidRPr="00C328E4" w:rsidP="00C328E4" w14:paraId="5B1AC2D3" w14:textId="56DF16F2">
            <w:pPr>
              <w:pStyle w:val="TableTitle1"/>
              <w:rPr>
                <w:snapToGrid w:val="0"/>
                <w:sz w:val="22"/>
                <w:szCs w:val="28"/>
              </w:rPr>
            </w:pPr>
            <w:r w:rsidRPr="00C328E4">
              <w:rPr>
                <w:snapToGrid w:val="0"/>
                <w:sz w:val="22"/>
                <w:szCs w:val="28"/>
              </w:rPr>
              <w:t>Discretionary incentive fee payable by the Company in relation to the</w:t>
            </w:r>
            <w:r w:rsidR="00056B40">
              <w:rPr>
                <w:snapToGrid w:val="0"/>
                <w:sz w:val="22"/>
                <w:szCs w:val="28"/>
              </w:rPr>
              <w:t xml:space="preserve"> Hong Kong Offer Shares and the</w:t>
            </w:r>
            <w:r w:rsidRPr="00C328E4">
              <w:rPr>
                <w:snapToGrid w:val="0"/>
                <w:sz w:val="22"/>
                <w:szCs w:val="28"/>
              </w:rPr>
              <w:t xml:space="preserve"> Firm Shares (US dollars)</w:t>
            </w:r>
            <w:r w:rsidR="002C42E5">
              <w:rPr>
                <w:snapToGrid w:val="0"/>
                <w:sz w:val="22"/>
                <w:szCs w:val="28"/>
              </w:rPr>
              <w:t xml:space="preserve"> (including each unsold share reallocated to the International Offering)</w:t>
            </w:r>
          </w:p>
        </w:tc>
        <w:tc>
          <w:tcPr>
            <w:tcW w:w="2413" w:type="dxa"/>
            <w:vAlign w:val="bottom"/>
          </w:tcPr>
          <w:p w:rsidR="000F30D9" w:rsidRPr="00C328E4" w:rsidP="00C328E4" w14:paraId="2CB103F3" w14:textId="2F607163">
            <w:pPr>
              <w:pStyle w:val="TableTitle1"/>
              <w:rPr>
                <w:snapToGrid w:val="0"/>
                <w:sz w:val="22"/>
                <w:szCs w:val="28"/>
              </w:rPr>
            </w:pPr>
            <w:r w:rsidRPr="00C328E4">
              <w:rPr>
                <w:snapToGrid w:val="0"/>
                <w:sz w:val="22"/>
                <w:szCs w:val="28"/>
              </w:rPr>
              <w:t xml:space="preserve">Percentage of entitlements to discretionary incentive fee in relation to the </w:t>
            </w:r>
            <w:r w:rsidR="00056B40">
              <w:rPr>
                <w:snapToGrid w:val="0"/>
                <w:sz w:val="22"/>
                <w:szCs w:val="28"/>
              </w:rPr>
              <w:t xml:space="preserve">Hong Kong Offer Shares and the </w:t>
            </w:r>
            <w:r w:rsidRPr="00C328E4">
              <w:rPr>
                <w:snapToGrid w:val="0"/>
                <w:sz w:val="22"/>
                <w:szCs w:val="28"/>
              </w:rPr>
              <w:t>Firm Shares</w:t>
            </w:r>
            <w:r w:rsidR="002C42E5">
              <w:rPr>
                <w:snapToGrid w:val="0"/>
                <w:sz w:val="22"/>
                <w:szCs w:val="28"/>
              </w:rPr>
              <w:t>(including each unsold share reallocated to the International Offering)</w:t>
            </w:r>
          </w:p>
        </w:tc>
      </w:tr>
      <w:tr w14:paraId="63F7E0DA" w14:textId="77777777" w:rsidTr="00C328E4">
        <w:tblPrEx>
          <w:tblW w:w="5130" w:type="pct"/>
          <w:tblInd w:w="-115" w:type="dxa"/>
          <w:tblLayout w:type="fixed"/>
          <w:tblLook w:val="04A0"/>
        </w:tblPrEx>
        <w:tc>
          <w:tcPr>
            <w:tcW w:w="4435" w:type="dxa"/>
          </w:tcPr>
          <w:p w:rsidR="00AA26B0" w:rsidRPr="00265E03" w:rsidP="00AA26B0" w14:paraId="4FE25854" w14:textId="09AD8B17">
            <w:pPr>
              <w:pStyle w:val="TableBody"/>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name of International Underwriter]</w:t>
            </w:r>
          </w:p>
        </w:tc>
        <w:tc>
          <w:tcPr>
            <w:tcW w:w="2413" w:type="dxa"/>
          </w:tcPr>
          <w:p w:rsidR="00AA26B0" w:rsidRPr="00265E03" w:rsidP="00AA26B0" w14:paraId="3963674E" w14:textId="412C3D26">
            <w:pPr>
              <w:pStyle w:val="TableBody"/>
              <w:jc w:val="right"/>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the number]</w:t>
            </w:r>
          </w:p>
        </w:tc>
        <w:tc>
          <w:tcPr>
            <w:tcW w:w="2413" w:type="dxa"/>
          </w:tcPr>
          <w:p w:rsidR="00AA26B0" w:rsidRPr="00265E03" w:rsidP="00AA26B0" w14:paraId="357EFE8B" w14:textId="7DF1D6D6">
            <w:pPr>
              <w:pStyle w:val="TableBody"/>
              <w:jc w:val="right"/>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the percentage]</w:t>
            </w:r>
          </w:p>
        </w:tc>
      </w:tr>
      <w:tr w14:paraId="20B09B14" w14:textId="77777777" w:rsidTr="00C328E4">
        <w:tblPrEx>
          <w:tblW w:w="5130" w:type="pct"/>
          <w:tblInd w:w="-115" w:type="dxa"/>
          <w:tblLayout w:type="fixed"/>
          <w:tblLook w:val="04A0"/>
        </w:tblPrEx>
        <w:tc>
          <w:tcPr>
            <w:tcW w:w="4435" w:type="dxa"/>
          </w:tcPr>
          <w:p w:rsidR="00AA26B0" w:rsidRPr="00C328E4" w:rsidP="00AA26B0" w14:paraId="61F05CF2" w14:textId="301D9970">
            <w:pPr>
              <w:pStyle w:val="TableBody"/>
              <w:rPr>
                <w:snapToGrid w:val="0"/>
                <w:sz w:val="22"/>
                <w:szCs w:val="28"/>
              </w:rPr>
            </w:pPr>
          </w:p>
        </w:tc>
        <w:tc>
          <w:tcPr>
            <w:tcW w:w="2413" w:type="dxa"/>
          </w:tcPr>
          <w:p w:rsidR="00AA26B0" w:rsidRPr="00C328E4" w:rsidP="00AA26B0" w14:paraId="5D2A9C7C" w14:textId="44EAC512">
            <w:pPr>
              <w:pStyle w:val="TableBody"/>
              <w:jc w:val="right"/>
              <w:rPr>
                <w:snapToGrid w:val="0"/>
                <w:sz w:val="22"/>
                <w:szCs w:val="28"/>
              </w:rPr>
            </w:pPr>
          </w:p>
        </w:tc>
        <w:tc>
          <w:tcPr>
            <w:tcW w:w="2413" w:type="dxa"/>
          </w:tcPr>
          <w:p w:rsidR="00AA26B0" w:rsidRPr="00C328E4" w:rsidP="00AA26B0" w14:paraId="46C22274" w14:textId="2A37B970">
            <w:pPr>
              <w:pStyle w:val="TableBody"/>
              <w:jc w:val="right"/>
              <w:rPr>
                <w:snapToGrid w:val="0"/>
                <w:sz w:val="22"/>
                <w:szCs w:val="28"/>
              </w:rPr>
            </w:pPr>
          </w:p>
        </w:tc>
      </w:tr>
      <w:tr w14:paraId="646FF2B5" w14:textId="77777777" w:rsidTr="00C328E4">
        <w:tblPrEx>
          <w:tblW w:w="5130" w:type="pct"/>
          <w:tblInd w:w="-115" w:type="dxa"/>
          <w:tblLayout w:type="fixed"/>
          <w:tblLook w:val="04A0"/>
        </w:tblPrEx>
        <w:tc>
          <w:tcPr>
            <w:tcW w:w="4435" w:type="dxa"/>
          </w:tcPr>
          <w:p w:rsidR="00AA26B0" w:rsidRPr="00C328E4" w:rsidP="00AA26B0" w14:paraId="323A0710" w14:textId="36D1BC41">
            <w:pPr>
              <w:pStyle w:val="TableBody"/>
              <w:rPr>
                <w:snapToGrid w:val="0"/>
                <w:sz w:val="22"/>
                <w:szCs w:val="28"/>
              </w:rPr>
            </w:pPr>
          </w:p>
        </w:tc>
        <w:tc>
          <w:tcPr>
            <w:tcW w:w="2413" w:type="dxa"/>
          </w:tcPr>
          <w:p w:rsidR="00AA26B0" w:rsidRPr="00C328E4" w:rsidP="00AA26B0" w14:paraId="772DBE83" w14:textId="714FE0AA">
            <w:pPr>
              <w:pStyle w:val="TableBody"/>
              <w:jc w:val="right"/>
              <w:rPr>
                <w:snapToGrid w:val="0"/>
                <w:sz w:val="22"/>
                <w:szCs w:val="28"/>
              </w:rPr>
            </w:pPr>
          </w:p>
        </w:tc>
        <w:tc>
          <w:tcPr>
            <w:tcW w:w="2413" w:type="dxa"/>
          </w:tcPr>
          <w:p w:rsidR="00AA26B0" w:rsidRPr="00C328E4" w:rsidP="00AA26B0" w14:paraId="30F28F4B" w14:textId="3F0A5A99">
            <w:pPr>
              <w:pStyle w:val="TableBody"/>
              <w:jc w:val="right"/>
              <w:rPr>
                <w:snapToGrid w:val="0"/>
                <w:sz w:val="22"/>
                <w:szCs w:val="28"/>
              </w:rPr>
            </w:pPr>
          </w:p>
        </w:tc>
      </w:tr>
      <w:tr w14:paraId="54204E40" w14:textId="77777777" w:rsidTr="00C328E4">
        <w:tblPrEx>
          <w:tblW w:w="5130" w:type="pct"/>
          <w:tblInd w:w="-115" w:type="dxa"/>
          <w:tblLayout w:type="fixed"/>
          <w:tblLook w:val="04A0"/>
        </w:tblPrEx>
        <w:tc>
          <w:tcPr>
            <w:tcW w:w="4435" w:type="dxa"/>
          </w:tcPr>
          <w:p w:rsidR="00AA26B0" w:rsidRPr="00C328E4" w:rsidP="00AA26B0" w14:paraId="5B127EE2" w14:textId="0B427F0B">
            <w:pPr>
              <w:pStyle w:val="TableBody"/>
              <w:rPr>
                <w:snapToGrid w:val="0"/>
                <w:sz w:val="22"/>
                <w:szCs w:val="28"/>
              </w:rPr>
            </w:pPr>
          </w:p>
        </w:tc>
        <w:tc>
          <w:tcPr>
            <w:tcW w:w="2413" w:type="dxa"/>
          </w:tcPr>
          <w:p w:rsidR="00AA26B0" w:rsidP="00AA26B0" w14:paraId="6F9A8787" w14:textId="11108C36">
            <w:pPr>
              <w:pStyle w:val="TableBody"/>
              <w:jc w:val="right"/>
              <w:rPr>
                <w:snapToGrid w:val="0"/>
                <w:sz w:val="22"/>
                <w:szCs w:val="28"/>
              </w:rPr>
            </w:pPr>
          </w:p>
        </w:tc>
        <w:tc>
          <w:tcPr>
            <w:tcW w:w="2413" w:type="dxa"/>
          </w:tcPr>
          <w:p w:rsidR="00AA26B0" w:rsidP="00AA26B0" w14:paraId="164E47AC" w14:textId="42DFA478">
            <w:pPr>
              <w:pStyle w:val="TableBody"/>
              <w:jc w:val="right"/>
              <w:rPr>
                <w:snapToGrid w:val="0"/>
                <w:sz w:val="22"/>
                <w:szCs w:val="28"/>
              </w:rPr>
            </w:pPr>
          </w:p>
        </w:tc>
      </w:tr>
      <w:tr w14:paraId="5CCE0257" w14:textId="77777777" w:rsidTr="00C328E4">
        <w:tblPrEx>
          <w:tblW w:w="5130" w:type="pct"/>
          <w:tblInd w:w="-115" w:type="dxa"/>
          <w:tblLayout w:type="fixed"/>
          <w:tblLook w:val="04A0"/>
        </w:tblPrEx>
        <w:tc>
          <w:tcPr>
            <w:tcW w:w="4435" w:type="dxa"/>
          </w:tcPr>
          <w:p w:rsidR="00AA26B0" w:rsidRPr="00C328E4" w:rsidP="00AA26B0" w14:paraId="0DA04D70" w14:textId="77777777">
            <w:pPr>
              <w:pStyle w:val="TableBody"/>
              <w:rPr>
                <w:b/>
                <w:bCs/>
                <w:snapToGrid w:val="0"/>
                <w:sz w:val="22"/>
                <w:szCs w:val="28"/>
              </w:rPr>
            </w:pPr>
            <w:r w:rsidRPr="00C328E4">
              <w:rPr>
                <w:rFonts w:hint="eastAsia"/>
                <w:b/>
                <w:bCs/>
                <w:snapToGrid w:val="0"/>
                <w:sz w:val="22"/>
                <w:szCs w:val="28"/>
              </w:rPr>
              <w:t>Total</w:t>
            </w:r>
          </w:p>
        </w:tc>
        <w:tc>
          <w:tcPr>
            <w:tcW w:w="2413" w:type="dxa"/>
          </w:tcPr>
          <w:p w:rsidR="00AA26B0" w:rsidRPr="00C328E4" w:rsidP="00AA26B0" w14:paraId="59C7807A" w14:textId="18B579EB">
            <w:pPr>
              <w:pStyle w:val="TableTotal"/>
              <w:jc w:val="right"/>
              <w:rPr>
                <w:b/>
                <w:bCs/>
                <w:snapToGrid w:val="0"/>
                <w:sz w:val="22"/>
                <w:szCs w:val="28"/>
              </w:rPr>
            </w:pPr>
          </w:p>
        </w:tc>
        <w:tc>
          <w:tcPr>
            <w:tcW w:w="2413" w:type="dxa"/>
          </w:tcPr>
          <w:p w:rsidR="00AA26B0" w:rsidRPr="00C328E4" w:rsidP="00AA26B0" w14:paraId="5598AA67" w14:textId="77777777">
            <w:pPr>
              <w:pStyle w:val="TableTotal"/>
              <w:jc w:val="right"/>
              <w:rPr>
                <w:b/>
                <w:bCs/>
                <w:snapToGrid w:val="0"/>
                <w:sz w:val="22"/>
                <w:szCs w:val="28"/>
              </w:rPr>
            </w:pPr>
            <w:r w:rsidRPr="00C328E4">
              <w:rPr>
                <w:b/>
                <w:bCs/>
                <w:snapToGrid w:val="0"/>
                <w:sz w:val="22"/>
                <w:szCs w:val="28"/>
              </w:rPr>
              <w:t>100.0%</w:t>
            </w:r>
          </w:p>
        </w:tc>
      </w:tr>
    </w:tbl>
    <w:p w:rsidR="00633022" w:rsidP="00FD48BB" w14:paraId="27B9AF3A" w14:textId="77777777">
      <w:pPr>
        <w:pStyle w:val="SchedulePartTitle"/>
        <w:rPr>
          <w:snapToGrid w:val="0"/>
        </w:rPr>
      </w:pPr>
    </w:p>
    <w:p w:rsidR="00FD48BB" w:rsidRPr="00A469A2" w:rsidP="00FD48BB" w14:paraId="21BD2F12" w14:textId="0CFB8212">
      <w:pPr>
        <w:pStyle w:val="SchedulePartTitle"/>
        <w:rPr>
          <w:snapToGrid w:val="0"/>
        </w:rPr>
      </w:pPr>
      <w:r w:rsidRPr="00A469A2">
        <w:rPr>
          <w:snapToGrid w:val="0"/>
        </w:rPr>
        <w:t xml:space="preserve">ENTITLEMENTS TO DISCRETIONARY INCENTIVE FEE IN RELATION TO THE </w:t>
      </w:r>
      <w:r>
        <w:rPr>
          <w:snapToGrid w:val="0"/>
        </w:rPr>
        <w:t>over-allotment</w:t>
      </w:r>
      <w:r w:rsidRPr="00A469A2">
        <w:rPr>
          <w:snapToGrid w:val="0"/>
        </w:rPr>
        <w:t xml:space="preserve"> SHARES</w:t>
      </w:r>
      <w:r w:rsidR="00056B40">
        <w:rPr>
          <w:snapToGrid w:val="0"/>
        </w:rPr>
        <w:t xml:space="preserve"> (if any)</w:t>
      </w:r>
    </w:p>
    <w:p w:rsidR="00FD48BB" w:rsidP="00A469A2" w14:paraId="049346B7" w14:textId="210C7B9A">
      <w:pPr>
        <w:pStyle w:val="BodyText0"/>
        <w:rPr>
          <w:snapToGrid w:val="0"/>
        </w:rPr>
      </w:pPr>
    </w:p>
    <w:tbl>
      <w:tblPr>
        <w:tblW w:w="3934" w:type="pct"/>
        <w:tblInd w:w="-115" w:type="dxa"/>
        <w:tblLayout w:type="fixed"/>
        <w:tblLook w:val="04A0"/>
      </w:tblPr>
      <w:tblGrid>
        <w:gridCol w:w="4600"/>
        <w:gridCol w:w="2502"/>
      </w:tblGrid>
      <w:tr w14:paraId="0D81B444" w14:textId="77777777" w:rsidTr="001430DF">
        <w:tblPrEx>
          <w:tblW w:w="3934" w:type="pct"/>
          <w:tblInd w:w="-115" w:type="dxa"/>
          <w:tblLayout w:type="fixed"/>
          <w:tblLook w:val="04A0"/>
        </w:tblPrEx>
        <w:tc>
          <w:tcPr>
            <w:tcW w:w="4600" w:type="dxa"/>
            <w:vAlign w:val="bottom"/>
          </w:tcPr>
          <w:p w:rsidR="001430DF" w:rsidRPr="00C328E4" w:rsidP="00D055FA" w14:paraId="32611312" w14:textId="77777777">
            <w:pPr>
              <w:pStyle w:val="TableTitle1"/>
              <w:jc w:val="left"/>
              <w:rPr>
                <w:snapToGrid w:val="0"/>
                <w:sz w:val="22"/>
                <w:szCs w:val="28"/>
              </w:rPr>
            </w:pPr>
            <w:r w:rsidRPr="00C328E4">
              <w:rPr>
                <w:snapToGrid w:val="0"/>
                <w:sz w:val="22"/>
                <w:szCs w:val="28"/>
              </w:rPr>
              <w:t>International Underwriters</w:t>
            </w:r>
          </w:p>
        </w:tc>
        <w:tc>
          <w:tcPr>
            <w:tcW w:w="2502" w:type="dxa"/>
            <w:vAlign w:val="bottom"/>
          </w:tcPr>
          <w:p w:rsidR="001430DF" w:rsidRPr="00C328E4" w:rsidP="00D055FA" w14:paraId="236C5190" w14:textId="3785B8F7">
            <w:pPr>
              <w:pStyle w:val="TableTitle1"/>
              <w:rPr>
                <w:snapToGrid w:val="0"/>
                <w:sz w:val="22"/>
                <w:szCs w:val="28"/>
              </w:rPr>
            </w:pPr>
            <w:r w:rsidRPr="00C328E4">
              <w:rPr>
                <w:snapToGrid w:val="0"/>
                <w:sz w:val="22"/>
                <w:szCs w:val="28"/>
              </w:rPr>
              <w:t xml:space="preserve">Percentage of entitlements to discretionary incentive fee in relation to the </w:t>
            </w:r>
            <w:r>
              <w:rPr>
                <w:snapToGrid w:val="0"/>
                <w:sz w:val="22"/>
                <w:szCs w:val="28"/>
              </w:rPr>
              <w:t>Over-allotment</w:t>
            </w:r>
            <w:r w:rsidRPr="00C328E4">
              <w:rPr>
                <w:snapToGrid w:val="0"/>
                <w:sz w:val="22"/>
                <w:szCs w:val="28"/>
              </w:rPr>
              <w:t xml:space="preserve"> Shares</w:t>
            </w:r>
            <w:r w:rsidR="00056B40">
              <w:rPr>
                <w:snapToGrid w:val="0"/>
                <w:sz w:val="22"/>
                <w:szCs w:val="28"/>
              </w:rPr>
              <w:t>(if any)</w:t>
            </w:r>
          </w:p>
        </w:tc>
      </w:tr>
      <w:tr w14:paraId="16D04A08" w14:textId="77777777" w:rsidTr="001430DF">
        <w:tblPrEx>
          <w:tblW w:w="3934" w:type="pct"/>
          <w:tblInd w:w="-115" w:type="dxa"/>
          <w:tblLayout w:type="fixed"/>
          <w:tblLook w:val="04A0"/>
        </w:tblPrEx>
        <w:tc>
          <w:tcPr>
            <w:tcW w:w="4600" w:type="dxa"/>
          </w:tcPr>
          <w:p w:rsidR="00AA26B0" w:rsidRPr="00265E03" w:rsidP="00AA26B0" w14:paraId="43ED5BF6" w14:textId="44B9A1EB">
            <w:pPr>
              <w:pStyle w:val="TableBody"/>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name of International Underwriter]</w:t>
            </w:r>
          </w:p>
        </w:tc>
        <w:tc>
          <w:tcPr>
            <w:tcW w:w="2502" w:type="dxa"/>
          </w:tcPr>
          <w:p w:rsidR="00AA26B0" w:rsidRPr="00265E03" w:rsidP="00AA26B0" w14:paraId="525B6220" w14:textId="4117837C">
            <w:pPr>
              <w:pStyle w:val="TableBody"/>
              <w:jc w:val="right"/>
              <w:rPr>
                <w:b/>
                <w:bCs/>
                <w:snapToGrid w:val="0"/>
                <w:sz w:val="22"/>
                <w:szCs w:val="22"/>
              </w:rPr>
            </w:pPr>
            <w:r w:rsidRPr="00265E03">
              <w:rPr>
                <w:b/>
                <w:bCs/>
                <w:snapToGrid w:val="0"/>
                <w:sz w:val="22"/>
                <w:szCs w:val="22"/>
              </w:rPr>
              <w:t>[</w:t>
            </w:r>
            <w:r w:rsidRPr="00265E03" w:rsidR="00265E03">
              <w:rPr>
                <w:b/>
                <w:snapToGrid w:val="0"/>
                <w:sz w:val="22"/>
                <w:szCs w:val="22"/>
              </w:rPr>
              <w:t xml:space="preserve">Insert </w:t>
            </w:r>
            <w:r w:rsidRPr="00265E03">
              <w:rPr>
                <w:b/>
                <w:bCs/>
                <w:snapToGrid w:val="0"/>
                <w:sz w:val="22"/>
                <w:szCs w:val="22"/>
              </w:rPr>
              <w:t>the percentage]</w:t>
            </w:r>
          </w:p>
        </w:tc>
      </w:tr>
      <w:tr w14:paraId="648B200E" w14:textId="77777777" w:rsidTr="001430DF">
        <w:tblPrEx>
          <w:tblW w:w="3934" w:type="pct"/>
          <w:tblInd w:w="-115" w:type="dxa"/>
          <w:tblLayout w:type="fixed"/>
          <w:tblLook w:val="04A0"/>
        </w:tblPrEx>
        <w:tc>
          <w:tcPr>
            <w:tcW w:w="4600" w:type="dxa"/>
          </w:tcPr>
          <w:p w:rsidR="00AA26B0" w:rsidRPr="00C328E4" w:rsidP="00AA26B0" w14:paraId="24F6F3FC" w14:textId="070F9443">
            <w:pPr>
              <w:pStyle w:val="TableBody"/>
              <w:rPr>
                <w:snapToGrid w:val="0"/>
                <w:sz w:val="22"/>
                <w:szCs w:val="28"/>
              </w:rPr>
            </w:pPr>
          </w:p>
        </w:tc>
        <w:tc>
          <w:tcPr>
            <w:tcW w:w="2502" w:type="dxa"/>
          </w:tcPr>
          <w:p w:rsidR="00AA26B0" w:rsidRPr="00C328E4" w:rsidP="00AA26B0" w14:paraId="1EBD7055" w14:textId="4A9A197C">
            <w:pPr>
              <w:pStyle w:val="TableBody"/>
              <w:jc w:val="right"/>
              <w:rPr>
                <w:snapToGrid w:val="0"/>
                <w:sz w:val="22"/>
                <w:szCs w:val="28"/>
              </w:rPr>
            </w:pPr>
          </w:p>
        </w:tc>
      </w:tr>
      <w:tr w14:paraId="70064E76" w14:textId="77777777" w:rsidTr="001430DF">
        <w:tblPrEx>
          <w:tblW w:w="3934" w:type="pct"/>
          <w:tblInd w:w="-115" w:type="dxa"/>
          <w:tblLayout w:type="fixed"/>
          <w:tblLook w:val="04A0"/>
        </w:tblPrEx>
        <w:tc>
          <w:tcPr>
            <w:tcW w:w="4600" w:type="dxa"/>
          </w:tcPr>
          <w:p w:rsidR="00AA26B0" w:rsidRPr="00C328E4" w:rsidP="00AA26B0" w14:paraId="152CB1A1" w14:textId="77777777">
            <w:pPr>
              <w:pStyle w:val="TableBody"/>
              <w:rPr>
                <w:b/>
                <w:bCs/>
                <w:snapToGrid w:val="0"/>
                <w:sz w:val="22"/>
                <w:szCs w:val="28"/>
              </w:rPr>
            </w:pPr>
            <w:r w:rsidRPr="00C328E4">
              <w:rPr>
                <w:rFonts w:hint="eastAsia"/>
                <w:b/>
                <w:bCs/>
                <w:snapToGrid w:val="0"/>
                <w:sz w:val="22"/>
                <w:szCs w:val="28"/>
              </w:rPr>
              <w:t>Total</w:t>
            </w:r>
          </w:p>
        </w:tc>
        <w:tc>
          <w:tcPr>
            <w:tcW w:w="2502" w:type="dxa"/>
          </w:tcPr>
          <w:p w:rsidR="00AA26B0" w:rsidRPr="00C328E4" w:rsidP="00AA26B0" w14:paraId="1C97362E" w14:textId="77777777">
            <w:pPr>
              <w:pStyle w:val="TableTotal"/>
              <w:jc w:val="right"/>
              <w:rPr>
                <w:b/>
                <w:bCs/>
                <w:snapToGrid w:val="0"/>
                <w:sz w:val="22"/>
                <w:szCs w:val="28"/>
              </w:rPr>
            </w:pPr>
            <w:r w:rsidRPr="00C328E4">
              <w:rPr>
                <w:b/>
                <w:bCs/>
                <w:snapToGrid w:val="0"/>
                <w:sz w:val="22"/>
                <w:szCs w:val="28"/>
              </w:rPr>
              <w:t>100.0%</w:t>
            </w:r>
          </w:p>
        </w:tc>
      </w:tr>
    </w:tbl>
    <w:p w:rsidR="00FD48BB" w:rsidP="00A469A2" w14:paraId="76EE815C" w14:textId="77777777">
      <w:pPr>
        <w:pStyle w:val="BodyText0"/>
        <w:rPr>
          <w:snapToGrid w:val="0"/>
        </w:rPr>
      </w:pPr>
    </w:p>
    <w:p w:rsidR="00C328E4" w:rsidRPr="00A469A2" w:rsidP="00E10E1F" w14:paraId="61210293" w14:textId="77777777">
      <w:pPr>
        <w:pStyle w:val="Schedule"/>
        <w:rPr>
          <w:snapToGrid w:val="0"/>
        </w:rPr>
      </w:pPr>
      <w:bookmarkStart w:id="265" w:name="_Ref155101171"/>
    </w:p>
    <w:p w:rsidR="001C5107" w:rsidRPr="00A469A2" w:rsidP="00C328E4" w14:paraId="026E4336" w14:textId="37032A49">
      <w:pPr>
        <w:pStyle w:val="ScheduleTitle"/>
        <w:rPr>
          <w:snapToGrid w:val="0"/>
        </w:rPr>
      </w:pPr>
      <w:bookmarkStart w:id="266" w:name="_Ref517408023"/>
      <w:bookmarkStart w:id="267" w:name="_Ref517408026"/>
      <w:bookmarkStart w:id="268" w:name="_Toc517409059"/>
      <w:bookmarkStart w:id="269" w:name="_Toc72862724"/>
      <w:bookmarkEnd w:id="265"/>
      <w:r w:rsidRPr="00A469A2">
        <w:rPr>
          <w:snapToGrid w:val="0"/>
        </w:rPr>
        <w:t>Cornerstone Investors</w:t>
      </w:r>
      <w:bookmarkEnd w:id="266"/>
      <w:bookmarkEnd w:id="267"/>
      <w:bookmarkEnd w:id="268"/>
      <w:bookmarkEnd w:id="269"/>
    </w:p>
    <w:tbl>
      <w:tblPr>
        <w:tblW w:w="5000" w:type="pct"/>
        <w:tblLayout w:type="fixed"/>
        <w:tblLook w:val="04A0"/>
      </w:tblPr>
      <w:tblGrid>
        <w:gridCol w:w="4333"/>
        <w:gridCol w:w="4693"/>
      </w:tblGrid>
      <w:tr w14:paraId="7AA91061" w14:textId="77777777" w:rsidTr="00E406F4">
        <w:tblPrEx>
          <w:tblW w:w="5000" w:type="pct"/>
          <w:tblLayout w:type="fixed"/>
          <w:tblLook w:val="04A0"/>
        </w:tblPrEx>
        <w:tc>
          <w:tcPr>
            <w:tcW w:w="4325" w:type="dxa"/>
          </w:tcPr>
          <w:p w:rsidR="001C5107" w:rsidRPr="00E10E1F" w:rsidP="00E406F4" w14:paraId="5B153007" w14:textId="77777777">
            <w:pPr>
              <w:pStyle w:val="TableTitle2"/>
              <w:pBdr>
                <w:bottom w:val="single" w:sz="4" w:space="1" w:color="auto"/>
              </w:pBdr>
              <w:rPr>
                <w:snapToGrid w:val="0"/>
                <w:sz w:val="22"/>
                <w:szCs w:val="28"/>
              </w:rPr>
            </w:pPr>
            <w:r w:rsidRPr="00E10E1F">
              <w:rPr>
                <w:snapToGrid w:val="0"/>
                <w:sz w:val="22"/>
                <w:szCs w:val="28"/>
              </w:rPr>
              <w:t>Cornerstone Investors</w:t>
            </w:r>
          </w:p>
        </w:tc>
        <w:tc>
          <w:tcPr>
            <w:tcW w:w="4685" w:type="dxa"/>
          </w:tcPr>
          <w:p w:rsidR="001C5107" w:rsidRPr="00E10E1F" w:rsidP="00E406F4" w14:paraId="56E06C56" w14:textId="77777777">
            <w:pPr>
              <w:pStyle w:val="TableTitle2"/>
              <w:pBdr>
                <w:bottom w:val="single" w:sz="4" w:space="1" w:color="auto"/>
              </w:pBdr>
              <w:rPr>
                <w:snapToGrid w:val="0"/>
                <w:sz w:val="22"/>
                <w:szCs w:val="28"/>
              </w:rPr>
            </w:pPr>
            <w:r w:rsidRPr="00E10E1F">
              <w:rPr>
                <w:snapToGrid w:val="0"/>
                <w:sz w:val="22"/>
                <w:szCs w:val="28"/>
              </w:rPr>
              <w:t>Number of Firm Shares to be purchased</w:t>
            </w:r>
          </w:p>
        </w:tc>
      </w:tr>
      <w:tr w14:paraId="0819CFF2" w14:textId="77777777" w:rsidTr="00E406F4">
        <w:tblPrEx>
          <w:tblW w:w="5000" w:type="pct"/>
          <w:tblLayout w:type="fixed"/>
          <w:tblLook w:val="04A0"/>
        </w:tblPrEx>
        <w:tc>
          <w:tcPr>
            <w:tcW w:w="4325" w:type="dxa"/>
          </w:tcPr>
          <w:p w:rsidR="00AA26B0" w:rsidRPr="00E406F4" w:rsidP="00AA26B0" w14:paraId="42E66415" w14:textId="477BDF75">
            <w:pPr>
              <w:pStyle w:val="TableBody"/>
              <w:rPr>
                <w:b/>
                <w:bCs/>
                <w:snapToGrid w:val="0"/>
                <w:sz w:val="22"/>
                <w:szCs w:val="22"/>
              </w:rPr>
            </w:pPr>
            <w:r w:rsidRPr="00E406F4">
              <w:rPr>
                <w:b/>
                <w:bCs/>
                <w:snapToGrid w:val="0"/>
                <w:sz w:val="22"/>
                <w:szCs w:val="22"/>
              </w:rPr>
              <w:t>[</w:t>
            </w:r>
            <w:r w:rsidRPr="00E406F4" w:rsidR="00E406F4">
              <w:rPr>
                <w:b/>
                <w:snapToGrid w:val="0"/>
                <w:sz w:val="22"/>
                <w:szCs w:val="22"/>
              </w:rPr>
              <w:t xml:space="preserve">Insert </w:t>
            </w:r>
            <w:r w:rsidRPr="00E406F4">
              <w:rPr>
                <w:b/>
                <w:bCs/>
                <w:snapToGrid w:val="0"/>
                <w:sz w:val="22"/>
                <w:szCs w:val="22"/>
              </w:rPr>
              <w:t>name of Cornerstone Investor]</w:t>
            </w:r>
          </w:p>
        </w:tc>
        <w:tc>
          <w:tcPr>
            <w:tcW w:w="4685" w:type="dxa"/>
          </w:tcPr>
          <w:p w:rsidR="00AA26B0" w:rsidRPr="00E406F4" w:rsidP="00AA26B0" w14:paraId="1B9A4370" w14:textId="6F801103">
            <w:pPr>
              <w:pStyle w:val="TableBody"/>
              <w:rPr>
                <w:b/>
                <w:bCs/>
                <w:snapToGrid w:val="0"/>
                <w:sz w:val="22"/>
                <w:szCs w:val="22"/>
              </w:rPr>
            </w:pPr>
            <w:r w:rsidRPr="00E406F4">
              <w:rPr>
                <w:b/>
                <w:bCs/>
                <w:snapToGrid w:val="0"/>
                <w:sz w:val="22"/>
                <w:szCs w:val="22"/>
              </w:rPr>
              <w:t>[</w:t>
            </w:r>
            <w:r w:rsidRPr="00E406F4" w:rsidR="00E406F4">
              <w:rPr>
                <w:b/>
                <w:snapToGrid w:val="0"/>
                <w:sz w:val="22"/>
                <w:szCs w:val="22"/>
              </w:rPr>
              <w:t xml:space="preserve">Insert </w:t>
            </w:r>
            <w:r w:rsidRPr="00E406F4">
              <w:rPr>
                <w:b/>
                <w:bCs/>
                <w:snapToGrid w:val="0"/>
                <w:sz w:val="22"/>
                <w:szCs w:val="22"/>
              </w:rPr>
              <w:t>the number of Firm Shares]</w:t>
            </w:r>
          </w:p>
        </w:tc>
      </w:tr>
    </w:tbl>
    <w:p w:rsidR="001C5107" w:rsidRPr="00A469A2" w:rsidP="00A469A2" w14:paraId="5FED627E" w14:textId="77777777">
      <w:pPr>
        <w:pStyle w:val="BodyText0"/>
        <w:rPr>
          <w:snapToGrid w:val="0"/>
          <w:highlight w:val="magenta"/>
        </w:rPr>
      </w:pPr>
    </w:p>
    <w:p w:rsidR="00E10E1F" w:rsidP="00E10E1F" w14:paraId="1EDB5657" w14:textId="77777777">
      <w:pPr>
        <w:pStyle w:val="Schedule"/>
        <w:rPr>
          <w:snapToGrid w:val="0"/>
        </w:rPr>
      </w:pPr>
      <w:bookmarkStart w:id="270" w:name="_Ref517408029"/>
      <w:bookmarkStart w:id="271" w:name="_Toc517409060"/>
      <w:bookmarkStart w:id="272" w:name="_Toc72862725"/>
    </w:p>
    <w:bookmarkEnd w:id="270"/>
    <w:bookmarkEnd w:id="271"/>
    <w:bookmarkEnd w:id="272"/>
    <w:p w:rsidR="00AB2019" w:rsidRPr="00AB2019" w:rsidP="00AB2019" w14:paraId="3D6A1554" w14:textId="77777777">
      <w:pPr>
        <w:adjustRightInd w:val="0"/>
        <w:rPr>
          <w:rFonts w:cs="Times New Roman"/>
          <w:sz w:val="22"/>
          <w:szCs w:val="22"/>
        </w:rPr>
      </w:pPr>
    </w:p>
    <w:p w:rsidR="00C638F9" w:rsidRPr="00C638F9" w:rsidP="00C638F9" w14:paraId="338B75D8" w14:textId="77777777">
      <w:pPr>
        <w:adjustRightInd w:val="0"/>
        <w:jc w:val="center"/>
        <w:rPr>
          <w:rFonts w:cs="Times New Roman"/>
          <w:b/>
          <w:caps/>
        </w:rPr>
      </w:pPr>
      <w:r w:rsidRPr="00C638F9">
        <w:rPr>
          <w:rFonts w:cs="Times New Roman"/>
          <w:b/>
          <w:caps/>
        </w:rPr>
        <w:t>Pricing Supplement</w:t>
      </w:r>
    </w:p>
    <w:p w:rsidR="00C638F9" w:rsidP="00C638F9" w14:paraId="6F91D396" w14:textId="77777777">
      <w:pPr>
        <w:jc w:val="center"/>
      </w:pPr>
      <w:bookmarkStart w:id="273" w:name="_Hlk155199155"/>
      <w:bookmarkStart w:id="274" w:name="_Ref155102642"/>
    </w:p>
    <w:bookmarkEnd w:id="273"/>
    <w:p w:rsidR="00E10E1F" w:rsidP="00393AA7" w14:paraId="22C8195F" w14:textId="5536DAEE">
      <w:pPr>
        <w:pStyle w:val="Schedule"/>
        <w:rPr>
          <w:snapToGrid w:val="0"/>
        </w:rPr>
      </w:pPr>
    </w:p>
    <w:p w:rsidR="00AB2019" w:rsidRPr="00AB2019" w:rsidP="00AB2019" w14:paraId="3479AD76" w14:textId="38CCD459">
      <w:pPr>
        <w:jc w:val="center"/>
        <w:rPr>
          <w:b/>
          <w:bCs/>
        </w:rPr>
      </w:pPr>
      <w:r w:rsidRPr="00AB2019">
        <w:rPr>
          <w:b/>
          <w:bCs/>
        </w:rPr>
        <w:t>THE WARRANTIES</w:t>
      </w:r>
    </w:p>
    <w:p w:rsidR="00393AA7" w:rsidP="00393AA7" w14:paraId="6F9F1EB3" w14:textId="77777777">
      <w:pPr>
        <w:pStyle w:val="SchedulePart"/>
        <w:rPr>
          <w:snapToGrid w:val="0"/>
        </w:rPr>
      </w:pPr>
      <w:bookmarkStart w:id="275" w:name="_Ref367265708"/>
      <w:bookmarkStart w:id="276" w:name="_Ref517408050"/>
      <w:bookmarkStart w:id="277" w:name="_Ref517408058"/>
      <w:bookmarkStart w:id="278" w:name="_Toc517409062"/>
      <w:bookmarkEnd w:id="274"/>
    </w:p>
    <w:p w:rsidR="001C5107" w:rsidP="00393AA7" w14:paraId="0DB4D48E" w14:textId="64D6F452">
      <w:pPr>
        <w:pStyle w:val="SchedulePartTitle"/>
        <w:rPr>
          <w:snapToGrid w:val="0"/>
        </w:rPr>
      </w:pPr>
      <w:r w:rsidRPr="00A469A2">
        <w:rPr>
          <w:snapToGrid w:val="0"/>
        </w:rPr>
        <w:t xml:space="preserve">Representations and Warranties of the </w:t>
      </w:r>
      <w:bookmarkEnd w:id="275"/>
      <w:bookmarkEnd w:id="276"/>
      <w:bookmarkEnd w:id="277"/>
      <w:bookmarkEnd w:id="278"/>
      <w:r w:rsidRPr="00A469A2" w:rsidR="00DE100A">
        <w:rPr>
          <w:snapToGrid w:val="0"/>
        </w:rPr>
        <w:t>WARRANTORS</w:t>
      </w:r>
    </w:p>
    <w:p w:rsidR="00D85772" w:rsidRPr="002306AF" w:rsidP="00393AA7" w14:paraId="69BAE631" w14:textId="6390A28A">
      <w:pPr>
        <w:pStyle w:val="SchedulePartTitle"/>
        <w:rPr>
          <w:rFonts w:ascii="Times New Roman" w:hAnsi="Times New Roman" w:cs="Times New Roman"/>
          <w:b w:val="0"/>
          <w:bCs/>
          <w:snapToGrid w:val="0"/>
        </w:rPr>
      </w:pPr>
      <w:r w:rsidRPr="002306AF">
        <w:rPr>
          <w:rFonts w:ascii="Times New Roman" w:hAnsi="Times New Roman" w:cs="Times New Roman"/>
          <w:b w:val="0"/>
          <w:bCs/>
          <w:snapToGrid w:val="0"/>
        </w:rPr>
        <w:t>[</w:t>
      </w:r>
      <w:r w:rsidRPr="002306AF" w:rsidR="000B20FE">
        <w:rPr>
          <w:rFonts w:ascii="Times New Roman" w:hAnsi="Times New Roman" w:cs="Times New Roman"/>
          <w:b w:val="0"/>
          <w:bCs/>
          <w:i/>
          <w:iCs/>
          <w:caps w:val="0"/>
          <w:snapToGrid w:val="0"/>
          <w:highlight w:val="yellow"/>
        </w:rPr>
        <w:t>Circulated separately</w:t>
      </w:r>
      <w:r w:rsidRPr="002306AF">
        <w:rPr>
          <w:rFonts w:ascii="Times New Roman" w:hAnsi="Times New Roman" w:cs="Times New Roman"/>
          <w:b w:val="0"/>
          <w:bCs/>
          <w:snapToGrid w:val="0"/>
        </w:rPr>
        <w:t>]</w:t>
      </w:r>
    </w:p>
    <w:p w:rsidR="00AB2019" w:rsidRPr="001A6549" w:rsidP="00AB2019" w14:paraId="27C75FBA" w14:textId="77777777">
      <w:pPr>
        <w:pStyle w:val="SchedulePart"/>
        <w:pageBreakBefore/>
      </w:pPr>
    </w:p>
    <w:p w:rsidR="00AB2019" w:rsidRPr="001A6549" w:rsidP="00AB2019" w14:paraId="26B024A9" w14:textId="77777777">
      <w:pPr>
        <w:pStyle w:val="SchedulePartTitle"/>
      </w:pPr>
      <w:r>
        <w:t>Additional representations and warranties of the Warranting Shareholders</w:t>
      </w:r>
    </w:p>
    <w:p w:rsidR="008B7DB9" w:rsidRPr="000B20FE" w:rsidP="008B7DB9" w14:paraId="202EF7FF" w14:textId="463C5CA1">
      <w:pPr>
        <w:pStyle w:val="SchedulePartTitle"/>
        <w:rPr>
          <w:rFonts w:ascii="Times New Roman" w:hAnsi="Times New Roman" w:cs="Times New Roman"/>
          <w:b w:val="0"/>
          <w:bCs/>
          <w:snapToGrid w:val="0"/>
        </w:rPr>
      </w:pPr>
      <w:bookmarkStart w:id="279" w:name="_Toc239294320"/>
      <w:r w:rsidRPr="000B20FE">
        <w:rPr>
          <w:rFonts w:ascii="Times New Roman" w:hAnsi="Times New Roman" w:cs="Times New Roman"/>
          <w:b w:val="0"/>
          <w:bCs/>
          <w:snapToGrid w:val="0"/>
        </w:rPr>
        <w:t>[</w:t>
      </w:r>
      <w:r w:rsidRPr="000B20FE" w:rsidR="000B20FE">
        <w:rPr>
          <w:rFonts w:ascii="Times New Roman" w:hAnsi="Times New Roman" w:cs="Times New Roman"/>
          <w:b w:val="0"/>
          <w:bCs/>
          <w:i/>
          <w:iCs/>
          <w:caps w:val="0"/>
          <w:snapToGrid w:val="0"/>
          <w:highlight w:val="yellow"/>
        </w:rPr>
        <w:t>C</w:t>
      </w:r>
      <w:r w:rsidRPr="000B20FE">
        <w:rPr>
          <w:rFonts w:ascii="Times New Roman" w:hAnsi="Times New Roman" w:cs="Times New Roman"/>
          <w:b w:val="0"/>
          <w:bCs/>
          <w:i/>
          <w:iCs/>
          <w:caps w:val="0"/>
          <w:snapToGrid w:val="0"/>
          <w:highlight w:val="yellow"/>
        </w:rPr>
        <w:t>irculated separately</w:t>
      </w:r>
      <w:r w:rsidRPr="000B20FE">
        <w:rPr>
          <w:rFonts w:ascii="Times New Roman" w:hAnsi="Times New Roman" w:cs="Times New Roman"/>
          <w:b w:val="0"/>
          <w:bCs/>
          <w:snapToGrid w:val="0"/>
        </w:rPr>
        <w:t>]</w:t>
      </w:r>
    </w:p>
    <w:bookmarkEnd w:id="279"/>
    <w:p w:rsidR="00CB08AD" w:rsidP="00A469A2" w14:paraId="3AA3D31A" w14:textId="34217225">
      <w:pPr>
        <w:pStyle w:val="BodyText0"/>
        <w:rPr>
          <w:snapToGrid w:val="0"/>
        </w:rPr>
      </w:pPr>
    </w:p>
    <w:p w:rsidR="00F50026" w:rsidRPr="00A469A2" w:rsidP="00A469A2" w14:paraId="0224B6DC" w14:textId="77777777">
      <w:pPr>
        <w:pStyle w:val="BodyText0"/>
        <w:rPr>
          <w:snapToGrid w:val="0"/>
        </w:rPr>
      </w:pPr>
    </w:p>
    <w:p w:rsidR="001C5107" w:rsidRPr="00A469A2" w:rsidP="00F50026" w14:paraId="0B669C00" w14:textId="1C69484D">
      <w:pPr>
        <w:pStyle w:val="Schedule"/>
        <w:rPr>
          <w:snapToGrid w:val="0"/>
        </w:rPr>
      </w:pPr>
      <w:bookmarkStart w:id="280" w:name="_Ref155102112"/>
    </w:p>
    <w:bookmarkEnd w:id="280"/>
    <w:p w:rsidR="002B30B9" w:rsidRPr="00E406F4" w:rsidP="00F50026" w14:paraId="0E077A5B" w14:textId="6EB9B50A">
      <w:pPr>
        <w:pStyle w:val="ScheduleTitle"/>
        <w:rPr>
          <w:snapToGrid w:val="0"/>
        </w:rPr>
      </w:pPr>
      <w:r w:rsidRPr="00E406F4">
        <w:rPr>
          <w:rFonts w:hint="eastAsia"/>
          <w:snapToGrid w:val="0"/>
        </w:rPr>
        <w:t>[insert name of issuer]</w:t>
      </w:r>
    </w:p>
    <w:p w:rsidR="002B30B9" w:rsidRPr="00A469A2" w:rsidP="00F50026" w14:paraId="049111DA" w14:textId="7A4F8F9D">
      <w:pPr>
        <w:pStyle w:val="Title"/>
        <w:rPr>
          <w:snapToGrid w:val="0"/>
        </w:rPr>
      </w:pPr>
      <w:r w:rsidRPr="00A469A2">
        <w:rPr>
          <w:snapToGrid w:val="0"/>
        </w:rPr>
        <w:t>ACCOUNT INFORMATION</w:t>
      </w:r>
    </w:p>
    <w:tbl>
      <w:tblPr>
        <w:tblW w:w="9085" w:type="dxa"/>
        <w:tblLook w:val="04A0"/>
      </w:tblPr>
      <w:tblGrid>
        <w:gridCol w:w="2750"/>
        <w:gridCol w:w="6335"/>
      </w:tblGrid>
      <w:tr w14:paraId="74443D71" w14:textId="77777777" w:rsidTr="00E406F4">
        <w:tblPrEx>
          <w:tblW w:w="9085" w:type="dxa"/>
          <w:tblLook w:val="04A0"/>
        </w:tblPrEx>
        <w:tc>
          <w:tcPr>
            <w:tcW w:w="0" w:type="auto"/>
          </w:tcPr>
          <w:p w:rsidR="0034794A" w:rsidRPr="00F50026" w:rsidP="0034794A" w14:paraId="338FEC24" w14:textId="24E5B4FC">
            <w:pPr>
              <w:pStyle w:val="TableBody"/>
              <w:spacing w:before="120" w:after="120"/>
              <w:rPr>
                <w:b/>
                <w:bCs/>
                <w:sz w:val="24"/>
                <w:szCs w:val="32"/>
              </w:rPr>
            </w:pPr>
            <w:bookmarkStart w:id="281" w:name="_Hlk155093383"/>
            <w:r w:rsidRPr="00F50026">
              <w:rPr>
                <w:b/>
                <w:bCs/>
                <w:sz w:val="24"/>
                <w:szCs w:val="32"/>
              </w:rPr>
              <w:t>Account Name:</w:t>
            </w:r>
          </w:p>
        </w:tc>
        <w:tc>
          <w:tcPr>
            <w:tcW w:w="6335" w:type="dxa"/>
          </w:tcPr>
          <w:p w:rsidR="0034794A" w:rsidRPr="000B20FE" w:rsidP="0034794A" w14:paraId="3362E6FD" w14:textId="287F0BF1">
            <w:pPr>
              <w:pStyle w:val="TableBody"/>
              <w:spacing w:before="120" w:after="120"/>
              <w:rPr>
                <w:b/>
                <w:bCs/>
                <w:sz w:val="24"/>
                <w:szCs w:val="32"/>
              </w:rPr>
            </w:pPr>
            <w:r w:rsidRPr="000B20FE">
              <w:rPr>
                <w:b/>
                <w:bCs/>
              </w:rPr>
              <w:t>[</w:t>
            </w:r>
            <w:r w:rsidRPr="000B20FE" w:rsidR="00E406F4">
              <w:rPr>
                <w:b/>
                <w:bCs/>
                <w:snapToGrid w:val="0"/>
              </w:rPr>
              <w:t xml:space="preserve">Insert </w:t>
            </w:r>
            <w:r w:rsidRPr="000B20FE">
              <w:rPr>
                <w:b/>
                <w:bCs/>
              </w:rPr>
              <w:t>account name]</w:t>
            </w:r>
          </w:p>
        </w:tc>
      </w:tr>
      <w:tr w14:paraId="5EDACD58" w14:textId="77777777" w:rsidTr="00E406F4">
        <w:tblPrEx>
          <w:tblW w:w="9085" w:type="dxa"/>
          <w:tblLook w:val="04A0"/>
        </w:tblPrEx>
        <w:tc>
          <w:tcPr>
            <w:tcW w:w="0" w:type="auto"/>
          </w:tcPr>
          <w:p w:rsidR="0034794A" w:rsidRPr="00F50026" w:rsidP="0034794A" w14:paraId="78F60777" w14:textId="12BEECF5">
            <w:pPr>
              <w:pStyle w:val="TableBody"/>
              <w:spacing w:before="120" w:after="120"/>
              <w:rPr>
                <w:b/>
                <w:bCs/>
                <w:sz w:val="24"/>
                <w:szCs w:val="32"/>
              </w:rPr>
            </w:pPr>
            <w:r w:rsidRPr="00F50026">
              <w:rPr>
                <w:b/>
                <w:bCs/>
                <w:sz w:val="24"/>
                <w:szCs w:val="32"/>
              </w:rPr>
              <w:t>Bank Name:</w:t>
            </w:r>
          </w:p>
        </w:tc>
        <w:tc>
          <w:tcPr>
            <w:tcW w:w="6335" w:type="dxa"/>
          </w:tcPr>
          <w:p w:rsidR="0034794A" w:rsidRPr="000B20FE" w:rsidP="0034794A" w14:paraId="11896455" w14:textId="0BDE7278">
            <w:pPr>
              <w:pStyle w:val="TableBody"/>
              <w:spacing w:before="120" w:after="120"/>
              <w:rPr>
                <w:b/>
                <w:bCs/>
                <w:sz w:val="24"/>
                <w:szCs w:val="32"/>
              </w:rPr>
            </w:pPr>
            <w:r w:rsidRPr="000B20FE">
              <w:rPr>
                <w:b/>
                <w:bCs/>
              </w:rPr>
              <w:t>[</w:t>
            </w:r>
            <w:r w:rsidRPr="000B20FE" w:rsidR="00E406F4">
              <w:rPr>
                <w:b/>
                <w:bCs/>
                <w:snapToGrid w:val="0"/>
              </w:rPr>
              <w:t xml:space="preserve">Insert </w:t>
            </w:r>
            <w:r w:rsidRPr="000B20FE">
              <w:rPr>
                <w:b/>
                <w:bCs/>
              </w:rPr>
              <w:t>bank name]</w:t>
            </w:r>
          </w:p>
        </w:tc>
      </w:tr>
      <w:tr w14:paraId="40A0C1B6" w14:textId="77777777" w:rsidTr="00E406F4">
        <w:tblPrEx>
          <w:tblW w:w="9085" w:type="dxa"/>
          <w:tblLook w:val="04A0"/>
        </w:tblPrEx>
        <w:tc>
          <w:tcPr>
            <w:tcW w:w="0" w:type="auto"/>
          </w:tcPr>
          <w:p w:rsidR="0034794A" w:rsidRPr="00F50026" w:rsidP="0034794A" w14:paraId="0B049937" w14:textId="5B100C57">
            <w:pPr>
              <w:pStyle w:val="TableBody"/>
              <w:spacing w:before="120" w:after="120"/>
              <w:rPr>
                <w:b/>
                <w:bCs/>
                <w:sz w:val="24"/>
                <w:szCs w:val="32"/>
              </w:rPr>
            </w:pPr>
            <w:r w:rsidRPr="00F50026">
              <w:rPr>
                <w:b/>
                <w:bCs/>
                <w:sz w:val="24"/>
                <w:szCs w:val="32"/>
              </w:rPr>
              <w:t>Bank Branch Address:</w:t>
            </w:r>
          </w:p>
        </w:tc>
        <w:tc>
          <w:tcPr>
            <w:tcW w:w="6335" w:type="dxa"/>
          </w:tcPr>
          <w:p w:rsidR="0034794A" w:rsidRPr="000B20FE" w:rsidP="0034794A" w14:paraId="4A768A34" w14:textId="1F11816B">
            <w:pPr>
              <w:pStyle w:val="TableBody"/>
              <w:spacing w:before="120" w:after="120"/>
              <w:rPr>
                <w:b/>
                <w:bCs/>
                <w:sz w:val="24"/>
                <w:szCs w:val="32"/>
              </w:rPr>
            </w:pPr>
            <w:r w:rsidRPr="000B20FE">
              <w:rPr>
                <w:b/>
                <w:bCs/>
              </w:rPr>
              <w:t>[</w:t>
            </w:r>
            <w:r w:rsidRPr="000B20FE" w:rsidR="00E406F4">
              <w:rPr>
                <w:b/>
                <w:bCs/>
                <w:snapToGrid w:val="0"/>
              </w:rPr>
              <w:t xml:space="preserve">Insert </w:t>
            </w:r>
            <w:r w:rsidRPr="000B20FE">
              <w:rPr>
                <w:b/>
                <w:bCs/>
              </w:rPr>
              <w:t>bank branch address]</w:t>
            </w:r>
          </w:p>
        </w:tc>
      </w:tr>
      <w:tr w14:paraId="67BB37D1" w14:textId="77777777" w:rsidTr="00E406F4">
        <w:tblPrEx>
          <w:tblW w:w="9085" w:type="dxa"/>
          <w:tblLook w:val="04A0"/>
        </w:tblPrEx>
        <w:tc>
          <w:tcPr>
            <w:tcW w:w="0" w:type="auto"/>
          </w:tcPr>
          <w:p w:rsidR="0034794A" w:rsidRPr="00F50026" w:rsidP="0034794A" w14:paraId="72342E44" w14:textId="36CE1298">
            <w:pPr>
              <w:pStyle w:val="TableBody"/>
              <w:spacing w:before="120" w:after="120"/>
              <w:rPr>
                <w:b/>
                <w:bCs/>
                <w:sz w:val="24"/>
                <w:szCs w:val="32"/>
              </w:rPr>
            </w:pPr>
            <w:r w:rsidRPr="00F50026">
              <w:rPr>
                <w:b/>
                <w:bCs/>
                <w:sz w:val="24"/>
                <w:szCs w:val="32"/>
              </w:rPr>
              <w:t>Bank SWIFT</w:t>
            </w:r>
            <w:r w:rsidR="00E406F4">
              <w:rPr>
                <w:b/>
                <w:bCs/>
                <w:sz w:val="24"/>
                <w:szCs w:val="32"/>
              </w:rPr>
              <w:t>:</w:t>
            </w:r>
          </w:p>
        </w:tc>
        <w:tc>
          <w:tcPr>
            <w:tcW w:w="6335" w:type="dxa"/>
          </w:tcPr>
          <w:p w:rsidR="0034794A" w:rsidRPr="000B20FE" w:rsidP="0034794A" w14:paraId="56DFEE06" w14:textId="49BB2E00">
            <w:pPr>
              <w:pStyle w:val="TableBody"/>
              <w:spacing w:before="120" w:after="120"/>
              <w:rPr>
                <w:b/>
                <w:bCs/>
                <w:sz w:val="24"/>
                <w:szCs w:val="32"/>
              </w:rPr>
            </w:pPr>
            <w:r w:rsidRPr="000B20FE">
              <w:rPr>
                <w:b/>
                <w:bCs/>
              </w:rPr>
              <w:t>[</w:t>
            </w:r>
            <w:r w:rsidRPr="000B20FE" w:rsidR="00E406F4">
              <w:rPr>
                <w:b/>
                <w:bCs/>
                <w:snapToGrid w:val="0"/>
              </w:rPr>
              <w:t xml:space="preserve">Insert </w:t>
            </w:r>
            <w:r w:rsidRPr="000B20FE">
              <w:rPr>
                <w:b/>
                <w:bCs/>
              </w:rPr>
              <w:t>bank SWIFT]</w:t>
            </w:r>
          </w:p>
        </w:tc>
      </w:tr>
      <w:tr w14:paraId="304FB691" w14:textId="77777777" w:rsidTr="00E406F4">
        <w:tblPrEx>
          <w:tblW w:w="9085" w:type="dxa"/>
          <w:tblLook w:val="04A0"/>
        </w:tblPrEx>
        <w:tc>
          <w:tcPr>
            <w:tcW w:w="0" w:type="auto"/>
          </w:tcPr>
          <w:p w:rsidR="0034794A" w:rsidRPr="00F50026" w:rsidP="0034794A" w14:paraId="14592C63" w14:textId="1AAC199A">
            <w:pPr>
              <w:pStyle w:val="TableBody"/>
              <w:spacing w:before="120" w:after="120"/>
              <w:rPr>
                <w:b/>
                <w:bCs/>
                <w:sz w:val="24"/>
                <w:szCs w:val="32"/>
              </w:rPr>
            </w:pPr>
            <w:r w:rsidRPr="00F50026">
              <w:rPr>
                <w:b/>
                <w:bCs/>
                <w:sz w:val="24"/>
                <w:szCs w:val="32"/>
              </w:rPr>
              <w:t>Account Number (HKD)</w:t>
            </w:r>
            <w:r w:rsidR="00E406F4">
              <w:rPr>
                <w:b/>
                <w:bCs/>
                <w:sz w:val="24"/>
                <w:szCs w:val="32"/>
              </w:rPr>
              <w:t>:</w:t>
            </w:r>
          </w:p>
        </w:tc>
        <w:tc>
          <w:tcPr>
            <w:tcW w:w="6335" w:type="dxa"/>
          </w:tcPr>
          <w:p w:rsidR="0034794A" w:rsidRPr="000B20FE" w:rsidP="0034794A" w14:paraId="3C08952D" w14:textId="4108D99A">
            <w:pPr>
              <w:pStyle w:val="TableBody"/>
              <w:spacing w:before="120" w:after="120"/>
              <w:rPr>
                <w:b/>
                <w:bCs/>
                <w:sz w:val="24"/>
                <w:szCs w:val="32"/>
              </w:rPr>
            </w:pPr>
            <w:r w:rsidRPr="000B20FE">
              <w:rPr>
                <w:b/>
                <w:bCs/>
              </w:rPr>
              <w:t>[</w:t>
            </w:r>
            <w:r w:rsidRPr="000B20FE" w:rsidR="00E406F4">
              <w:rPr>
                <w:b/>
                <w:bCs/>
                <w:snapToGrid w:val="0"/>
              </w:rPr>
              <w:t xml:space="preserve">Insert </w:t>
            </w:r>
            <w:r w:rsidRPr="000B20FE">
              <w:rPr>
                <w:b/>
                <w:bCs/>
              </w:rPr>
              <w:t>account number]</w:t>
            </w:r>
          </w:p>
        </w:tc>
      </w:tr>
      <w:bookmarkEnd w:id="281"/>
    </w:tbl>
    <w:p w:rsidR="002B30B9" w:rsidRPr="00A469A2" w:rsidP="00A469A2" w14:paraId="158ADF63" w14:textId="77777777">
      <w:pPr>
        <w:pStyle w:val="BodyText0"/>
        <w:rPr>
          <w:snapToGrid w:val="0"/>
        </w:rPr>
      </w:pPr>
    </w:p>
    <w:p w:rsidR="002B30B9" w:rsidRPr="00A469A2" w:rsidP="00697A1B" w14:paraId="3D8760C5" w14:textId="77777777">
      <w:pPr>
        <w:pStyle w:val="AppendixHeadingTitle"/>
        <w:rPr>
          <w:snapToGrid w:val="0"/>
        </w:rPr>
      </w:pPr>
      <w:bookmarkStart w:id="282" w:name="_Ref155102164"/>
    </w:p>
    <w:p w:rsidR="001C5107" w:rsidRPr="00A469A2" w:rsidP="00697A1B" w14:paraId="7A7B6026" w14:textId="7D62FEB2">
      <w:pPr>
        <w:pStyle w:val="AppendixHeading1"/>
        <w:rPr>
          <w:snapToGrid w:val="0"/>
        </w:rPr>
      </w:pPr>
      <w:bookmarkStart w:id="283" w:name="_Ref517408112"/>
      <w:bookmarkStart w:id="284" w:name="_Toc517409064"/>
      <w:bookmarkEnd w:id="282"/>
      <w:r w:rsidRPr="00A469A2">
        <w:rPr>
          <w:snapToGrid w:val="0"/>
        </w:rPr>
        <w:t>Officers’ Certificate of the Company</w:t>
      </w:r>
      <w:bookmarkEnd w:id="283"/>
      <w:bookmarkEnd w:id="284"/>
    </w:p>
    <w:p w:rsidR="002514CB" w:rsidP="002514CB" w14:paraId="50E28CC9" w14:textId="3F1B4BE8">
      <w:pPr>
        <w:pStyle w:val="BodyText"/>
      </w:pPr>
      <w:r>
        <w:t>I</w:t>
      </w:r>
      <w:r w:rsidRPr="00267196">
        <w:t xml:space="preserve">, </w:t>
      </w:r>
      <w:r w:rsidRPr="002514CB">
        <w:rPr>
          <w:b/>
          <w:bCs/>
          <w:lang w:eastAsia="zh-CN"/>
        </w:rPr>
        <w:t>[Name]</w:t>
      </w:r>
      <w:r>
        <w:t xml:space="preserve">, </w:t>
      </w:r>
      <w:r w:rsidRPr="002514CB">
        <w:rPr>
          <w:b/>
          <w:bCs/>
        </w:rPr>
        <w:t>[Title</w:t>
      </w:r>
      <w:r w:rsidR="00D16530">
        <w:rPr>
          <w:b/>
          <w:bCs/>
        </w:rPr>
        <w:t>] of [</w:t>
      </w:r>
      <w:r w:rsidRPr="002514CB">
        <w:rPr>
          <w:b/>
          <w:bCs/>
        </w:rPr>
        <w:t>Company</w:t>
      </w:r>
      <w:r w:rsidR="00D16530">
        <w:rPr>
          <w:b/>
          <w:bCs/>
        </w:rPr>
        <w:t xml:space="preserve"> Name</w:t>
      </w:r>
      <w:r w:rsidRPr="002514CB">
        <w:rPr>
          <w:b/>
          <w:bCs/>
        </w:rPr>
        <w:t>]</w:t>
      </w:r>
      <w:r w:rsidRPr="0055767F">
        <w:rPr>
          <w:bCs/>
          <w:snapToGrid w:val="0"/>
        </w:rPr>
        <w:t>,</w:t>
      </w:r>
      <w:r w:rsidRPr="0055767F">
        <w:rPr>
          <w:rFonts w:hint="eastAsia"/>
          <w:snapToGrid w:val="0"/>
        </w:rPr>
        <w:t xml:space="preserve"> </w:t>
      </w:r>
      <w:r>
        <w:rPr>
          <w:snapToGrid w:val="0"/>
        </w:rPr>
        <w:t>[</w:t>
      </w:r>
      <w:r w:rsidRPr="00A469A2">
        <w:rPr>
          <w:rFonts w:hint="eastAsia"/>
          <w:snapToGrid w:val="0"/>
        </w:rPr>
        <w:t>a limited liability company incorporated under the laws of the Cayman Islands</w:t>
      </w:r>
      <w:r>
        <w:rPr>
          <w:snapToGrid w:val="0"/>
        </w:rPr>
        <w:t>]</w:t>
      </w:r>
      <w:r w:rsidRPr="0055767F">
        <w:rPr>
          <w:snapToGrid w:val="0"/>
        </w:rPr>
        <w:t xml:space="preserve">, having its registered office at </w:t>
      </w:r>
      <w:r w:rsidRPr="002514CB">
        <w:rPr>
          <w:b/>
          <w:bCs/>
          <w:snapToGrid w:val="0"/>
        </w:rPr>
        <w:t>[Address]</w:t>
      </w:r>
      <w:r w:rsidRPr="0055767F">
        <w:rPr>
          <w:b/>
          <w:bCs/>
          <w:snapToGrid w:val="0"/>
          <w:lang w:eastAsia="zh-CN"/>
        </w:rPr>
        <w:t xml:space="preserve"> </w:t>
      </w:r>
      <w:r w:rsidRPr="0055767F">
        <w:rPr>
          <w:snapToGrid w:val="0"/>
        </w:rPr>
        <w:t>(the “</w:t>
      </w:r>
      <w:r w:rsidRPr="0055767F">
        <w:rPr>
          <w:b/>
          <w:snapToGrid w:val="0"/>
        </w:rPr>
        <w:t>Company</w:t>
      </w:r>
      <w:r w:rsidRPr="0055767F">
        <w:rPr>
          <w:snapToGrid w:val="0"/>
        </w:rPr>
        <w:t>”)</w:t>
      </w:r>
      <w:r w:rsidRPr="0055767F">
        <w:rPr>
          <w:rFonts w:hint="eastAsia"/>
          <w:snapToGrid w:val="0"/>
          <w:lang w:eastAsia="zh-CN"/>
        </w:rPr>
        <w:t>,</w:t>
      </w:r>
      <w:r>
        <w:rPr>
          <w:rFonts w:hint="eastAsia"/>
          <w:snapToGrid w:val="0"/>
          <w:lang w:eastAsia="zh-CN"/>
        </w:rPr>
        <w:t xml:space="preserve"> </w:t>
      </w:r>
      <w:r w:rsidRPr="00267196">
        <w:t xml:space="preserve">pursuant to </w:t>
      </w:r>
      <w:r>
        <w:rPr>
          <w:rFonts w:hint="eastAsia"/>
        </w:rPr>
        <w:t xml:space="preserve">Section </w:t>
      </w:r>
      <w:r>
        <w:rPr>
          <w:rFonts w:hint="eastAsia"/>
          <w:lang w:eastAsia="zh-CN"/>
        </w:rPr>
        <w:t>8</w:t>
      </w:r>
      <w:r>
        <w:t>(a)</w:t>
      </w:r>
      <w:r>
        <w:rPr>
          <w:rFonts w:hint="eastAsia"/>
        </w:rPr>
        <w:t xml:space="preserve"> of </w:t>
      </w:r>
      <w:r w:rsidRPr="00267196">
        <w:t xml:space="preserve">the international underwriting agreement, dated </w:t>
      </w:r>
      <w:r w:rsidRPr="002514CB">
        <w:rPr>
          <w:b/>
          <w:bCs/>
        </w:rPr>
        <w:t>[Date]</w:t>
      </w:r>
      <w:r w:rsidRPr="00267196">
        <w:t xml:space="preserve"> (the </w:t>
      </w:r>
      <w:r>
        <w:t>“</w:t>
      </w:r>
      <w:r w:rsidRPr="00267196">
        <w:rPr>
          <w:b/>
        </w:rPr>
        <w:t>International Underwriting Agreement</w:t>
      </w:r>
      <w:r>
        <w:t>”</w:t>
      </w:r>
      <w:r w:rsidRPr="00267196">
        <w:t>),</w:t>
      </w:r>
      <w:r w:rsidRPr="00267196">
        <w:rPr>
          <w:b/>
        </w:rPr>
        <w:t xml:space="preserve"> </w:t>
      </w:r>
      <w:r w:rsidRPr="00267196">
        <w:t xml:space="preserve">among the Company, </w:t>
      </w:r>
      <w:r>
        <w:t>the Warranting Shareholders, the</w:t>
      </w:r>
      <w:r w:rsidRPr="009316A0">
        <w:t xml:space="preserve"> several International Underwriters named therein</w:t>
      </w:r>
      <w:r w:rsidRPr="00267196">
        <w:t xml:space="preserve">, and pursuant to </w:t>
      </w:r>
      <w:r>
        <w:t>Schedule</w:t>
      </w:r>
      <w:r>
        <w:rPr>
          <w:rFonts w:hint="eastAsia"/>
        </w:rPr>
        <w:t xml:space="preserve"> </w:t>
      </w:r>
      <w:r>
        <w:t>3</w:t>
      </w:r>
      <w:r>
        <w:rPr>
          <w:rFonts w:hint="eastAsia"/>
        </w:rPr>
        <w:t xml:space="preserve"> of </w:t>
      </w:r>
      <w:r w:rsidRPr="00267196">
        <w:t xml:space="preserve">the Hong Kong underwriting agreement, dated </w:t>
      </w:r>
      <w:r w:rsidRPr="002514CB">
        <w:rPr>
          <w:b/>
          <w:bCs/>
        </w:rPr>
        <w:t>[Date</w:t>
      </w:r>
      <w:r>
        <w:rPr>
          <w:b/>
          <w:bCs/>
        </w:rPr>
        <w:t>]</w:t>
      </w:r>
      <w:r w:rsidRPr="00267196">
        <w:t xml:space="preserve"> (the </w:t>
      </w:r>
      <w:r>
        <w:t>“</w:t>
      </w:r>
      <w:r w:rsidRPr="00267196">
        <w:rPr>
          <w:b/>
        </w:rPr>
        <w:t>Hong Kong Underwriting Agreement</w:t>
      </w:r>
      <w:r>
        <w:t>”</w:t>
      </w:r>
      <w:r w:rsidRPr="00267196">
        <w:t>),</w:t>
      </w:r>
      <w:r w:rsidRPr="00267196">
        <w:rPr>
          <w:b/>
        </w:rPr>
        <w:t xml:space="preserve"> </w:t>
      </w:r>
      <w:r w:rsidRPr="00267196">
        <w:t>among the Company</w:t>
      </w:r>
      <w:r>
        <w:rPr>
          <w:rFonts w:hint="eastAsia"/>
        </w:rPr>
        <w:t xml:space="preserve">, </w:t>
      </w:r>
      <w:r>
        <w:t xml:space="preserve">the Warranting Shareholders, </w:t>
      </w:r>
      <w:r w:rsidRPr="009316A0">
        <w:t>the several</w:t>
      </w:r>
      <w:r w:rsidRPr="00267196">
        <w:t xml:space="preserve"> Hong Kong Underwriters named therein, hereby certify that:</w:t>
      </w:r>
    </w:p>
    <w:p w:rsidR="002514CB" w:rsidRPr="00267196" w:rsidP="002514CB" w14:paraId="1E3FE9D7" w14:textId="77777777">
      <w:pPr>
        <w:pStyle w:val="Schedule1L3"/>
        <w:numPr>
          <w:ilvl w:val="2"/>
          <w:numId w:val="24"/>
        </w:numPr>
        <w:outlineLvl w:val="9"/>
      </w:pPr>
      <w:bookmarkStart w:id="285" w:name="_Ref367265727"/>
      <w:r w:rsidRPr="00267196">
        <w:t>The representations and warranties of the Company in the International Underwriting Agreement and the Hong Kong Underwriting Agreement are true and accurate and not misleading as of the date hereof as though made on and as of this date.</w:t>
      </w:r>
    </w:p>
    <w:p w:rsidR="002514CB" w:rsidP="002514CB" w14:paraId="14FAA963" w14:textId="77777777">
      <w:pPr>
        <w:pStyle w:val="Schedule1L3"/>
        <w:numPr>
          <w:ilvl w:val="2"/>
          <w:numId w:val="24"/>
        </w:numPr>
        <w:outlineLvl w:val="9"/>
      </w:pPr>
      <w:bookmarkStart w:id="286" w:name="_Ref367265728"/>
      <w:r w:rsidRPr="00267196">
        <w:t>The Company has performed all obligations and satisfied all conditions on its part to be performed or satisfied pursuant to the International Underwriting Agreement and the Hong Kong Underwriting Agreement at or prior to the date thereof.</w:t>
      </w:r>
      <w:bookmarkEnd w:id="286"/>
    </w:p>
    <w:p w:rsidR="002514CB" w:rsidRPr="0038677E" w:rsidP="002514CB" w14:paraId="6F40EAFE" w14:textId="77777777">
      <w:pPr>
        <w:pStyle w:val="Schedule1L3"/>
        <w:numPr>
          <w:ilvl w:val="2"/>
          <w:numId w:val="24"/>
        </w:numPr>
        <w:outlineLvl w:val="9"/>
      </w:pPr>
      <w:r w:rsidRPr="00267196">
        <w:t xml:space="preserve">The Company has furnished or caused to be furnished to the </w:t>
      </w:r>
      <w:r>
        <w:t>Overall Coordinators and the Joint Global Coordinators,</w:t>
      </w:r>
      <w:r w:rsidRPr="00267196">
        <w:t xml:space="preserve"> all documents or certificates relating to such other matters as the </w:t>
      </w:r>
      <w:r>
        <w:t>Overall Coordinators</w:t>
      </w:r>
      <w:r w:rsidRPr="00A6477F">
        <w:t xml:space="preserve"> </w:t>
      </w:r>
      <w:r>
        <w:t>and the Joint Global Coordinators</w:t>
      </w:r>
      <w:r w:rsidRPr="00267196">
        <w:t xml:space="preserve"> ha</w:t>
      </w:r>
      <w:r>
        <w:t>ve</w:t>
      </w:r>
      <w:r w:rsidRPr="00267196">
        <w:t xml:space="preserve"> reasonably requested.</w:t>
      </w:r>
    </w:p>
    <w:p w:rsidR="002514CB" w:rsidRPr="0090684A" w:rsidP="002514CB" w14:paraId="2883FCAC" w14:textId="77777777">
      <w:pPr>
        <w:pStyle w:val="Schedule1L3"/>
        <w:numPr>
          <w:ilvl w:val="2"/>
          <w:numId w:val="24"/>
        </w:numPr>
        <w:outlineLvl w:val="9"/>
      </w:pPr>
      <w:r w:rsidRPr="0090684A">
        <w:t xml:space="preserve">Since the date of the latest audited consolidated financial statements included in the Disclosure Package and the Offering Circular, (a) neither the Company nor any of its subsidiaries has sustained any loss or interference with its business from fire, explosion, flood, windstorm, earthquake or other calamity, whether or not covered by insurance, or from any labor dispute or court or governmental action, order or decree, other than as set forth or contemplated in the Disclosure Package, and (b) there has not been any Material Adverse Effect, other than as set forth or contemplated in both the Disclosure Package and </w:t>
      </w:r>
      <w:r>
        <w:t xml:space="preserve">the </w:t>
      </w:r>
      <w:r w:rsidRPr="0090684A">
        <w:t>Offering Circular; and (c) there has not been any</w:t>
      </w:r>
      <w:r>
        <w:t xml:space="preserve"> </w:t>
      </w:r>
      <w:r w:rsidRPr="0090684A">
        <w:t>decrease in total assets or share capital of the Group</w:t>
      </w:r>
      <w:r>
        <w:t>,</w:t>
      </w:r>
      <w:r w:rsidRPr="0090684A">
        <w:t xml:space="preserve"> </w:t>
      </w:r>
      <w:r>
        <w:t xml:space="preserve">or any increase in bank and other borrowings </w:t>
      </w:r>
      <w:r w:rsidRPr="0090684A">
        <w:t xml:space="preserve">of the Group compared with amounts shown in the Group’s latest audited consolidated balance sheet included in the Disclosure Package and the Offering Circular, and there has not been any decrease in </w:t>
      </w:r>
      <w:r>
        <w:t xml:space="preserve">revenue, </w:t>
      </w:r>
      <w:r w:rsidRPr="0090684A">
        <w:t>gross profit, profit before tax or profit and total comprehensive income</w:t>
      </w:r>
      <w:r>
        <w:t xml:space="preserve"> </w:t>
      </w:r>
      <w:r w:rsidRPr="0090684A">
        <w:t>during the period from the date of the latest audited consolidated income statement of the Group to each Time of Delivery, as compared to the corresponding periods in the preceding financial year</w:t>
      </w:r>
      <w:r>
        <w:t>.</w:t>
      </w:r>
    </w:p>
    <w:p w:rsidR="002514CB" w:rsidRPr="00267196" w:rsidP="002514CB" w14:paraId="6A8129A0" w14:textId="77777777">
      <w:pPr>
        <w:pStyle w:val="BodyText"/>
      </w:pPr>
      <w:r w:rsidRPr="00267196">
        <w:t>Capitalized terms used herein that are not otherwise defined shall have the same meanings as defined in the International Underwriting Agreement.</w:t>
      </w:r>
    </w:p>
    <w:bookmarkEnd w:id="285"/>
    <w:p w:rsidR="002514CB" w:rsidP="002514CB" w14:paraId="7826C27A" w14:textId="77777777">
      <w:pPr>
        <w:pStyle w:val="BodyText"/>
        <w:rPr>
          <w:b/>
        </w:rPr>
      </w:pPr>
    </w:p>
    <w:p w:rsidR="002514CB" w:rsidRPr="00267196" w:rsidP="002514CB" w14:paraId="01FFBCFB" w14:textId="619FCA5D">
      <w:pPr>
        <w:pStyle w:val="BodyText"/>
      </w:pPr>
      <w:r>
        <w:rPr>
          <w:b/>
        </w:rPr>
        <w:br w:type="page"/>
      </w:r>
      <w:r w:rsidRPr="00267196">
        <w:rPr>
          <w:b/>
        </w:rPr>
        <w:t>IN WITNESS WHEREOF</w:t>
      </w:r>
      <w:r w:rsidRPr="00267196">
        <w:t>, the undersigned ha</w:t>
      </w:r>
      <w:r>
        <w:t>s</w:t>
      </w:r>
      <w:r w:rsidRPr="00267196">
        <w:t xml:space="preserve"> hereunto executed this certificate.</w:t>
      </w:r>
    </w:p>
    <w:p w:rsidR="002514CB" w:rsidRPr="00267196" w:rsidP="002514CB" w14:paraId="4B01A9FF" w14:textId="77777777">
      <w:pPr>
        <w:pStyle w:val="BodyText"/>
      </w:pPr>
      <w:r w:rsidRPr="00267196">
        <w:t xml:space="preserve">Dated:  </w:t>
      </w:r>
      <w:r>
        <w:t>[ </w:t>
      </w:r>
      <w:r>
        <w:rPr>
          <w:rFonts w:ascii="Wingdings 2" w:hAnsi="Wingdings 2"/>
        </w:rPr>
        <w:sym w:font="Wingdings 2" w:char="F098"/>
      </w:r>
      <w:r>
        <w:t> ]</w:t>
      </w:r>
      <w:r>
        <w:rPr>
          <w:rFonts w:hint="eastAsia"/>
          <w:lang w:eastAsia="zh-CN"/>
        </w:rPr>
        <w:t>,</w:t>
      </w:r>
      <w:r w:rsidRPr="00267196">
        <w:t xml:space="preserve"> </w:t>
      </w:r>
      <w:r>
        <w:t>202</w:t>
      </w:r>
      <w:r>
        <w:rPr>
          <w:rFonts w:hint="eastAsia"/>
          <w:lang w:eastAsia="zh-CN"/>
        </w:rPr>
        <w:t>5</w:t>
      </w:r>
    </w:p>
    <w:p w:rsidR="002514CB" w:rsidP="002514CB" w14:paraId="19E37A0D" w14:textId="77777777">
      <w:pPr>
        <w:widowControl w:val="0"/>
        <w:tabs>
          <w:tab w:val="left" w:pos="3262"/>
        </w:tabs>
        <w:autoSpaceDE w:val="0"/>
        <w:autoSpaceDN w:val="0"/>
        <w:spacing w:before="1"/>
        <w:ind w:left="460" w:right="6075" w:hanging="360"/>
        <w:jc w:val="left"/>
        <w:rPr>
          <w:rFonts w:eastAsiaTheme="minorEastAsia"/>
        </w:rPr>
      </w:pPr>
      <w:r>
        <w:br w:type="page"/>
      </w:r>
      <w:r>
        <w:rPr>
          <w:rFonts w:eastAsia="Times New Roman"/>
        </w:rPr>
        <w:t xml:space="preserve">By: </w:t>
      </w:r>
      <w:r w:rsidRPr="005F1231">
        <w:rPr>
          <w:rFonts w:eastAsia="Times New Roman"/>
          <w:u w:val="single"/>
        </w:rPr>
        <w:tab/>
      </w:r>
      <w:r w:rsidRPr="005F1231">
        <w:rPr>
          <w:rFonts w:eastAsia="Times New Roman"/>
        </w:rPr>
        <w:t xml:space="preserve"> </w:t>
      </w:r>
    </w:p>
    <w:p w:rsidR="002514CB" w:rsidP="002514CB" w14:paraId="609C7D49" w14:textId="2998AFDF">
      <w:pPr>
        <w:widowControl w:val="0"/>
        <w:tabs>
          <w:tab w:val="left" w:pos="3262"/>
        </w:tabs>
        <w:autoSpaceDE w:val="0"/>
        <w:autoSpaceDN w:val="0"/>
        <w:spacing w:before="1"/>
        <w:ind w:left="460" w:right="6075" w:hanging="10"/>
        <w:jc w:val="left"/>
        <w:rPr>
          <w:lang w:eastAsia="zh-CN"/>
        </w:rPr>
      </w:pPr>
      <w:r w:rsidRPr="005F1231">
        <w:rPr>
          <w:rFonts w:eastAsia="Times New Roman"/>
        </w:rPr>
        <w:t>Name:</w:t>
      </w:r>
      <w:r>
        <w:rPr>
          <w:rFonts w:eastAsia="Times New Roman"/>
        </w:rPr>
        <w:t xml:space="preserve"> </w:t>
      </w:r>
    </w:p>
    <w:p w:rsidR="002B1EA2" w:rsidRPr="002514CB" w:rsidP="002514CB" w14:paraId="6C8E51C1" w14:textId="74D4FA71">
      <w:pPr>
        <w:widowControl w:val="0"/>
        <w:tabs>
          <w:tab w:val="left" w:pos="3262"/>
        </w:tabs>
        <w:autoSpaceDE w:val="0"/>
        <w:autoSpaceDN w:val="0"/>
        <w:spacing w:before="1"/>
        <w:ind w:left="460" w:right="6075" w:hanging="10"/>
        <w:jc w:val="left"/>
        <w:rPr>
          <w:rFonts w:eastAsia="Times New Roman"/>
        </w:rPr>
      </w:pPr>
      <w:r w:rsidRPr="005F1231">
        <w:rPr>
          <w:rFonts w:eastAsia="Times New Roman"/>
        </w:rPr>
        <w:t>Title:</w:t>
      </w:r>
      <w:r w:rsidRPr="00395EC6">
        <w:t xml:space="preserve"> </w:t>
      </w:r>
      <w:r>
        <w:t xml:space="preserve"> </w:t>
      </w:r>
    </w:p>
    <w:p w:rsidR="00395EC6" w:rsidRPr="00A469A2" w:rsidP="00A469A2" w14:paraId="6E348A27" w14:textId="5E76DAF0">
      <w:pPr>
        <w:pStyle w:val="BodyText0"/>
        <w:rPr>
          <w:snapToGrid w:val="0"/>
        </w:rPr>
      </w:pPr>
    </w:p>
    <w:p w:rsidR="001C5107" w:rsidRPr="00A469A2" w:rsidP="00697A1B" w14:paraId="0785133A" w14:textId="77777777">
      <w:pPr>
        <w:pStyle w:val="AppendixHeadingTitle"/>
        <w:rPr>
          <w:snapToGrid w:val="0"/>
        </w:rPr>
      </w:pPr>
      <w:bookmarkStart w:id="287" w:name="_Ref155102354"/>
    </w:p>
    <w:p w:rsidR="001C5107" w:rsidRPr="00A469A2" w:rsidP="00697A1B" w14:paraId="173F4C60" w14:textId="451C7D78">
      <w:pPr>
        <w:pStyle w:val="AppendixHeading1"/>
        <w:rPr>
          <w:snapToGrid w:val="0"/>
        </w:rPr>
      </w:pPr>
      <w:bookmarkStart w:id="288" w:name="_Ref517408118"/>
      <w:bookmarkStart w:id="289" w:name="_Toc517409065"/>
      <w:bookmarkEnd w:id="287"/>
      <w:r w:rsidRPr="00A469A2">
        <w:rPr>
          <w:snapToGrid w:val="0"/>
        </w:rPr>
        <w:t>Officers’ Certificate for Non-Comforted Data</w:t>
      </w:r>
      <w:bookmarkEnd w:id="288"/>
      <w:bookmarkEnd w:id="289"/>
    </w:p>
    <w:p w:rsidR="002514CB" w:rsidRPr="00267196" w:rsidP="002514CB" w14:paraId="4B47352F" w14:textId="2DBB59FA">
      <w:pPr>
        <w:pStyle w:val="BodyText"/>
      </w:pPr>
      <w:r>
        <w:t>I</w:t>
      </w:r>
      <w:r w:rsidRPr="00267196">
        <w:t xml:space="preserve">, </w:t>
      </w:r>
      <w:r w:rsidRPr="002514CB">
        <w:rPr>
          <w:b/>
          <w:bCs/>
        </w:rPr>
        <w:t>[Name]</w:t>
      </w:r>
      <w:r>
        <w:t xml:space="preserve">, </w:t>
      </w:r>
      <w:r w:rsidRPr="00386976">
        <w:rPr>
          <w:lang w:eastAsia="zh-CN"/>
        </w:rPr>
        <w:t>[</w:t>
      </w:r>
      <w:r w:rsidRPr="00386976" w:rsidR="00D16530">
        <w:rPr>
          <w:lang w:eastAsia="zh-CN"/>
        </w:rPr>
        <w:t>chief financial officer]</w:t>
      </w:r>
      <w:r w:rsidR="00D16530">
        <w:rPr>
          <w:b/>
          <w:bCs/>
          <w:lang w:eastAsia="zh-CN"/>
        </w:rPr>
        <w:t xml:space="preserve"> of</w:t>
      </w:r>
      <w:r w:rsidRPr="002514CB">
        <w:rPr>
          <w:b/>
          <w:bCs/>
          <w:lang w:eastAsia="zh-CN"/>
        </w:rPr>
        <w:t xml:space="preserve"> </w:t>
      </w:r>
      <w:r w:rsidR="00D16530">
        <w:rPr>
          <w:b/>
          <w:bCs/>
          <w:lang w:eastAsia="zh-CN"/>
        </w:rPr>
        <w:t>[</w:t>
      </w:r>
      <w:r w:rsidRPr="002514CB">
        <w:rPr>
          <w:b/>
          <w:bCs/>
          <w:lang w:eastAsia="zh-CN"/>
        </w:rPr>
        <w:t>Company</w:t>
      </w:r>
      <w:r w:rsidR="00D16530">
        <w:rPr>
          <w:b/>
          <w:bCs/>
          <w:lang w:eastAsia="zh-CN"/>
        </w:rPr>
        <w:t xml:space="preserve"> Name</w:t>
      </w:r>
      <w:r w:rsidRPr="002514CB">
        <w:rPr>
          <w:b/>
          <w:bCs/>
          <w:lang w:eastAsia="zh-CN"/>
        </w:rPr>
        <w:t>]</w:t>
      </w:r>
      <w:r w:rsidRPr="0055767F">
        <w:rPr>
          <w:bCs/>
          <w:snapToGrid w:val="0"/>
        </w:rPr>
        <w:t>,</w:t>
      </w:r>
      <w:r w:rsidRPr="0055767F">
        <w:rPr>
          <w:rFonts w:hint="eastAsia"/>
          <w:snapToGrid w:val="0"/>
        </w:rPr>
        <w:t xml:space="preserve"> </w:t>
      </w:r>
      <w:r>
        <w:rPr>
          <w:snapToGrid w:val="0"/>
        </w:rPr>
        <w:t>[</w:t>
      </w:r>
      <w:r w:rsidRPr="00A469A2">
        <w:rPr>
          <w:rFonts w:hint="eastAsia"/>
          <w:snapToGrid w:val="0"/>
        </w:rPr>
        <w:t>a limited liability company incorporated under the laws of the Cayman Islands</w:t>
      </w:r>
      <w:r>
        <w:rPr>
          <w:snapToGrid w:val="0"/>
        </w:rPr>
        <w:t>]</w:t>
      </w:r>
      <w:r w:rsidRPr="0055767F">
        <w:rPr>
          <w:snapToGrid w:val="0"/>
        </w:rPr>
        <w:t xml:space="preserve">, having its registered office at </w:t>
      </w:r>
      <w:r w:rsidRPr="002514CB">
        <w:rPr>
          <w:b/>
          <w:bCs/>
          <w:snapToGrid w:val="0"/>
        </w:rPr>
        <w:t>[Address]</w:t>
      </w:r>
      <w:r w:rsidRPr="0055767F">
        <w:rPr>
          <w:b/>
          <w:bCs/>
          <w:snapToGrid w:val="0"/>
          <w:lang w:eastAsia="zh-CN"/>
        </w:rPr>
        <w:t xml:space="preserve"> </w:t>
      </w:r>
      <w:r w:rsidRPr="0055767F">
        <w:rPr>
          <w:snapToGrid w:val="0"/>
        </w:rPr>
        <w:t>(the “</w:t>
      </w:r>
      <w:r w:rsidRPr="0055767F">
        <w:rPr>
          <w:b/>
          <w:snapToGrid w:val="0"/>
        </w:rPr>
        <w:t>Company</w:t>
      </w:r>
      <w:r w:rsidRPr="0055767F">
        <w:rPr>
          <w:snapToGrid w:val="0"/>
        </w:rPr>
        <w:t>”</w:t>
      </w:r>
      <w:r w:rsidRPr="00267196">
        <w:t xml:space="preserve"> and its subsidiaries,</w:t>
      </w:r>
      <w:r>
        <w:t xml:space="preserve"> </w:t>
      </w:r>
      <w:r w:rsidRPr="00267196">
        <w:t xml:space="preserve">the </w:t>
      </w:r>
      <w:r>
        <w:t>“</w:t>
      </w:r>
      <w:r w:rsidRPr="00267196">
        <w:rPr>
          <w:b/>
        </w:rPr>
        <w:t>Group</w:t>
      </w:r>
      <w:r>
        <w:t>”</w:t>
      </w:r>
      <w:r w:rsidRPr="00267196">
        <w:t>),</w:t>
      </w:r>
      <w:r w:rsidRPr="00267196">
        <w:rPr>
          <w:b/>
        </w:rPr>
        <w:t xml:space="preserve"> </w:t>
      </w:r>
      <w:r w:rsidRPr="00267196">
        <w:t xml:space="preserve">pursuant to </w:t>
      </w:r>
      <w:r>
        <w:rPr>
          <w:rFonts w:hint="eastAsia"/>
        </w:rPr>
        <w:t xml:space="preserve">Section </w:t>
      </w:r>
      <w:r>
        <w:rPr>
          <w:rFonts w:hint="eastAsia"/>
          <w:lang w:eastAsia="zh-CN"/>
        </w:rPr>
        <w:t>8</w:t>
      </w:r>
      <w:r>
        <w:t>(b)</w:t>
      </w:r>
      <w:r>
        <w:rPr>
          <w:rFonts w:hint="eastAsia"/>
        </w:rPr>
        <w:t xml:space="preserve"> of </w:t>
      </w:r>
      <w:r w:rsidRPr="00267196">
        <w:t xml:space="preserve">the international underwriting agreement, dated </w:t>
      </w:r>
      <w:r w:rsidRPr="002514CB">
        <w:rPr>
          <w:b/>
          <w:bCs/>
        </w:rPr>
        <w:t>[Date]</w:t>
      </w:r>
      <w:r w:rsidRPr="00267196">
        <w:t xml:space="preserve"> (the </w:t>
      </w:r>
      <w:r>
        <w:t>“</w:t>
      </w:r>
      <w:r w:rsidRPr="00267196">
        <w:rPr>
          <w:b/>
        </w:rPr>
        <w:t>International Underwriting Agreement</w:t>
      </w:r>
      <w:r>
        <w:t>”</w:t>
      </w:r>
      <w:r w:rsidRPr="00267196">
        <w:t>),</w:t>
      </w:r>
      <w:r w:rsidRPr="00267196">
        <w:rPr>
          <w:b/>
        </w:rPr>
        <w:t xml:space="preserve"> </w:t>
      </w:r>
      <w:r w:rsidRPr="00267196">
        <w:t xml:space="preserve">among the Company, </w:t>
      </w:r>
      <w:r>
        <w:t>the</w:t>
      </w:r>
      <w:r w:rsidRPr="00731186">
        <w:t xml:space="preserve"> Warranting Shareholders</w:t>
      </w:r>
      <w:r>
        <w:t xml:space="preserve">, </w:t>
      </w:r>
      <w:r w:rsidRPr="009316A0">
        <w:t>the several International Underwriters named therein</w:t>
      </w:r>
      <w:r w:rsidRPr="00267196">
        <w:t xml:space="preserve">, and pursuant to </w:t>
      </w:r>
      <w:r>
        <w:t>Schedule</w:t>
      </w:r>
      <w:r>
        <w:rPr>
          <w:rFonts w:hint="eastAsia"/>
        </w:rPr>
        <w:t xml:space="preserve"> </w:t>
      </w:r>
      <w:r>
        <w:t>3</w:t>
      </w:r>
      <w:r>
        <w:rPr>
          <w:rFonts w:hint="eastAsia"/>
        </w:rPr>
        <w:t xml:space="preserve"> of t</w:t>
      </w:r>
      <w:r w:rsidRPr="00267196">
        <w:t xml:space="preserve">he Hong Kong underwriting agreement, dated </w:t>
      </w:r>
      <w:r w:rsidRPr="002514CB">
        <w:rPr>
          <w:b/>
          <w:bCs/>
        </w:rPr>
        <w:t>[Date]</w:t>
      </w:r>
      <w:r w:rsidRPr="00267196">
        <w:t xml:space="preserve"> (the </w:t>
      </w:r>
      <w:r>
        <w:t>“</w:t>
      </w:r>
      <w:r w:rsidRPr="00267196">
        <w:rPr>
          <w:b/>
        </w:rPr>
        <w:t>Hong Kong Underwriting Agreement</w:t>
      </w:r>
      <w:r>
        <w:t>”</w:t>
      </w:r>
      <w:r w:rsidRPr="00267196">
        <w:t>),</w:t>
      </w:r>
      <w:r w:rsidRPr="00267196">
        <w:rPr>
          <w:b/>
        </w:rPr>
        <w:t xml:space="preserve"> </w:t>
      </w:r>
      <w:r w:rsidRPr="00267196">
        <w:t>among the Company</w:t>
      </w:r>
      <w:r>
        <w:rPr>
          <w:rFonts w:hint="eastAsia"/>
        </w:rPr>
        <w:t xml:space="preserve">, </w:t>
      </w:r>
      <w:r>
        <w:t>the</w:t>
      </w:r>
      <w:r w:rsidRPr="00731186">
        <w:t xml:space="preserve"> Warranting Shareholders</w:t>
      </w:r>
      <w:r>
        <w:t xml:space="preserve">, </w:t>
      </w:r>
      <w:r w:rsidRPr="009316A0">
        <w:t>the several</w:t>
      </w:r>
      <w:r w:rsidRPr="00267196">
        <w:t xml:space="preserve"> Hong Kong Underwriters named therein, hereby certify that:</w:t>
      </w:r>
    </w:p>
    <w:p w:rsidR="002514CB" w:rsidRPr="00267196" w:rsidP="002514CB" w14:paraId="05D03354" w14:textId="77777777">
      <w:pPr>
        <w:pStyle w:val="Schedule1L3"/>
        <w:numPr>
          <w:ilvl w:val="2"/>
          <w:numId w:val="33"/>
        </w:numPr>
        <w:outlineLvl w:val="9"/>
      </w:pPr>
      <w:bookmarkStart w:id="290" w:name="_Ref367265730"/>
      <w:r>
        <w:t xml:space="preserve">I am </w:t>
      </w:r>
      <w:r w:rsidRPr="00267196">
        <w:t>familiar with the accounting, operations, records systems and internal controls of the Group.</w:t>
      </w:r>
      <w:bookmarkEnd w:id="290"/>
    </w:p>
    <w:p w:rsidR="002514CB" w:rsidRPr="00267196" w:rsidP="002514CB" w14:paraId="1F4DDC88" w14:textId="4D5461AA">
      <w:pPr>
        <w:pStyle w:val="Schedule1L3"/>
        <w:numPr>
          <w:ilvl w:val="2"/>
          <w:numId w:val="33"/>
        </w:numPr>
        <w:outlineLvl w:val="9"/>
      </w:pPr>
      <w:bookmarkStart w:id="291" w:name="_Ref367265731"/>
      <w:r>
        <w:t>I</w:t>
      </w:r>
      <w:r w:rsidRPr="00267196">
        <w:t xml:space="preserve"> have participated in the preparation of the </w:t>
      </w:r>
      <w:r>
        <w:t>Prospectus, the Disclosure Package and the Offering Circular</w:t>
      </w:r>
      <w:r w:rsidRPr="00267196">
        <w:t xml:space="preserve">. In connection with such participation, </w:t>
      </w:r>
      <w:r>
        <w:t>I</w:t>
      </w:r>
      <w:r w:rsidRPr="00267196">
        <w:t xml:space="preserve"> have reviewed the disclosure </w:t>
      </w:r>
      <w:r w:rsidRPr="007A7A44">
        <w:t>in the Prospectus, the Disclosure Package and the Offering Circular</w:t>
      </w:r>
      <w:r w:rsidRPr="00267196">
        <w:t xml:space="preserve"> and have discussed such disclosure with other members of the senior management, the counsels to the Company, </w:t>
      </w:r>
      <w:r w:rsidRPr="007A7A44">
        <w:t xml:space="preserve">the </w:t>
      </w:r>
      <w:r>
        <w:t>Overall Coordinators</w:t>
      </w:r>
      <w:r w:rsidRPr="007A7A44">
        <w:t xml:space="preserve">, </w:t>
      </w:r>
      <w:r>
        <w:t xml:space="preserve">the Joint Sponsors, the Joint Global Coordinators, </w:t>
      </w:r>
      <w:r w:rsidRPr="007A7A44">
        <w:t xml:space="preserve">the counsels to the International Underwriters and </w:t>
      </w:r>
      <w:r w:rsidRPr="002514CB">
        <w:rPr>
          <w:b/>
          <w:bCs/>
        </w:rPr>
        <w:t>[</w:t>
      </w:r>
      <w:r w:rsidR="00386976">
        <w:rPr>
          <w:b/>
          <w:bCs/>
        </w:rPr>
        <w:t>A</w:t>
      </w:r>
      <w:r w:rsidRPr="002514CB">
        <w:rPr>
          <w:b/>
          <w:bCs/>
        </w:rPr>
        <w:t>uditor</w:t>
      </w:r>
      <w:r w:rsidR="00386976">
        <w:rPr>
          <w:b/>
          <w:bCs/>
        </w:rPr>
        <w:t>’s Name</w:t>
      </w:r>
      <w:r w:rsidRPr="002514CB">
        <w:rPr>
          <w:b/>
          <w:bCs/>
        </w:rPr>
        <w:t>]</w:t>
      </w:r>
      <w:r>
        <w:rPr>
          <w:rFonts w:hint="eastAsia"/>
        </w:rPr>
        <w:t xml:space="preserve"> </w:t>
      </w:r>
      <w:r w:rsidRPr="007A7A44">
        <w:t>as independent reporting accountants to the Company</w:t>
      </w:r>
      <w:r w:rsidRPr="00267196">
        <w:t>.</w:t>
      </w:r>
      <w:bookmarkEnd w:id="291"/>
    </w:p>
    <w:p w:rsidR="002514CB" w:rsidRPr="00267196" w:rsidP="002514CB" w14:paraId="09121E08" w14:textId="77777777">
      <w:pPr>
        <w:pStyle w:val="Schedule1L3"/>
        <w:numPr>
          <w:ilvl w:val="2"/>
          <w:numId w:val="33"/>
        </w:numPr>
        <w:outlineLvl w:val="9"/>
      </w:pPr>
      <w:bookmarkStart w:id="292" w:name="_Ref367265732"/>
      <w:r w:rsidRPr="007A7A44">
        <w:t xml:space="preserve">In particular, </w:t>
      </w:r>
      <w:r>
        <w:t>I</w:t>
      </w:r>
      <w:r w:rsidRPr="007A7A44">
        <w:t xml:space="preserve"> have reviewed the financial</w:t>
      </w:r>
      <w:r>
        <w:t>,</w:t>
      </w:r>
      <w:r w:rsidRPr="007A7A44">
        <w:t xml:space="preserve"> </w:t>
      </w:r>
      <w:r>
        <w:t xml:space="preserve">operating </w:t>
      </w:r>
      <w:r w:rsidRPr="007A7A44">
        <w:t xml:space="preserve">and other </w:t>
      </w:r>
      <w:r>
        <w:t>relevant data</w:t>
      </w:r>
      <w:r w:rsidRPr="007A7A44">
        <w:t xml:space="preserve"> that has been identified on the </w:t>
      </w:r>
      <w:r>
        <w:t>excerpts</w:t>
      </w:r>
      <w:r w:rsidRPr="007A7A44">
        <w:t xml:space="preserve"> of the Prospectus</w:t>
      </w:r>
      <w:r>
        <w:t xml:space="preserve"> and</w:t>
      </w:r>
      <w:r w:rsidRPr="007A7A44">
        <w:t xml:space="preserve"> the Offering Circular attached hereto as</w:t>
      </w:r>
      <w:r w:rsidRPr="00267196">
        <w:t xml:space="preserve"> </w:t>
      </w:r>
      <w:r w:rsidRPr="007A7A44">
        <w:rPr>
          <w:u w:val="single"/>
        </w:rPr>
        <w:t>Appendix A</w:t>
      </w:r>
      <w:r w:rsidRPr="00267196">
        <w:t xml:space="preserve"> (the </w:t>
      </w:r>
      <w:r>
        <w:t>“</w:t>
      </w:r>
      <w:r w:rsidRPr="00267196">
        <w:rPr>
          <w:b/>
        </w:rPr>
        <w:t>Company Information</w:t>
      </w:r>
      <w:r>
        <w:t>”</w:t>
      </w:r>
      <w:r w:rsidRPr="00267196">
        <w:t>).</w:t>
      </w:r>
      <w:bookmarkEnd w:id="292"/>
    </w:p>
    <w:p w:rsidR="002514CB" w:rsidP="002514CB" w14:paraId="1716DD78" w14:textId="77777777">
      <w:pPr>
        <w:pStyle w:val="Schedule1L3"/>
        <w:numPr>
          <w:ilvl w:val="2"/>
          <w:numId w:val="33"/>
        </w:numPr>
        <w:outlineLvl w:val="9"/>
      </w:pPr>
      <w:bookmarkStart w:id="293" w:name="_Ref367265733"/>
      <w:r>
        <w:t>I</w:t>
      </w:r>
      <w:r w:rsidRPr="00267196">
        <w:t xml:space="preserve"> hereby confirm that the Company Information has been properly and accurately extracted, calculated or otherwise derived from and verified from the Group</w:t>
      </w:r>
      <w:r>
        <w:t>’</w:t>
      </w:r>
      <w:r w:rsidRPr="00267196">
        <w:t>s accounting, financial and business records and internal controls, and is true, complete and accurate and is not misleading</w:t>
      </w:r>
      <w:r>
        <w:rPr>
          <w:rFonts w:hint="eastAsia"/>
        </w:rPr>
        <w:t>,</w:t>
      </w:r>
      <w:r>
        <w:t xml:space="preserve"> and does not omit to state a material fact necessary in order to make the statements therein, in the light of the circumstances under which they were made, not misleading as of the dates of such Company Information stated therein, and has been accurately reproduced in the Prospectus, the Disclosure Package and the Offering Circular</w:t>
      </w:r>
      <w:r w:rsidRPr="00267196">
        <w:t>.</w:t>
      </w:r>
      <w:bookmarkEnd w:id="293"/>
    </w:p>
    <w:p w:rsidR="002514CB" w:rsidRPr="005E4418" w:rsidP="002514CB" w14:paraId="633AFFC9" w14:textId="77777777">
      <w:pPr>
        <w:pStyle w:val="Schedule1L3"/>
        <w:numPr>
          <w:ilvl w:val="2"/>
          <w:numId w:val="33"/>
        </w:numPr>
        <w:outlineLvl w:val="9"/>
        <w:rPr>
          <w:lang w:val="en-US" w:bidi="ar-SA"/>
        </w:rPr>
      </w:pPr>
      <w:r w:rsidRPr="00422DD3">
        <w:rPr>
          <w:lang w:val="en-US" w:bidi="ar-SA"/>
        </w:rPr>
        <w:t xml:space="preserve">There have not been any decreases </w:t>
      </w:r>
      <w:r>
        <w:rPr>
          <w:lang w:val="en-US" w:bidi="ar-SA"/>
        </w:rPr>
        <w:t xml:space="preserve">in </w:t>
      </w:r>
      <w:r w:rsidRPr="00623399">
        <w:rPr>
          <w:lang w:val="en-US" w:bidi="ar-SA"/>
        </w:rPr>
        <w:t>share capital of the Group compared with amounts shown in the Group’s latest audited consolidated balance sheet included in the Disclosure Package and the Offering Circular</w:t>
      </w:r>
      <w:r>
        <w:rPr>
          <w:lang w:val="en-US" w:bidi="ar-SA"/>
        </w:rPr>
        <w:t>.</w:t>
      </w:r>
    </w:p>
    <w:p w:rsidR="002514CB" w:rsidRPr="00267196" w:rsidP="002514CB" w14:paraId="6973AEE3" w14:textId="77777777">
      <w:pPr>
        <w:pStyle w:val="BodyText"/>
      </w:pPr>
      <w:r w:rsidRPr="00267196">
        <w:t>Capitalized terms used herein that are not otherwise defined shall have the same meanings as defined in the International Underwriting Agreement.</w:t>
      </w:r>
    </w:p>
    <w:p w:rsidR="002514CB" w:rsidRPr="00267196" w:rsidP="002514CB" w14:paraId="160937BF" w14:textId="58BD6087">
      <w:pPr>
        <w:pStyle w:val="BodyText"/>
      </w:pPr>
      <w:r>
        <w:rPr>
          <w:b/>
        </w:rPr>
        <w:br w:type="page"/>
      </w:r>
      <w:r w:rsidRPr="00267196">
        <w:rPr>
          <w:b/>
        </w:rPr>
        <w:t>IN WITNESS WHEREOF</w:t>
      </w:r>
      <w:r w:rsidRPr="00267196">
        <w:t>, the undersigned have hereunto executed this certificate.</w:t>
      </w:r>
    </w:p>
    <w:p w:rsidR="002514CB" w:rsidP="002514CB" w14:paraId="7AAC68D5" w14:textId="35EF0EED">
      <w:pPr>
        <w:pStyle w:val="BodyText"/>
        <w:rPr>
          <w:lang w:eastAsia="zh-CN"/>
        </w:rPr>
      </w:pPr>
      <w:r w:rsidRPr="00267196">
        <w:t xml:space="preserve">Dated:  </w:t>
      </w:r>
      <w:r w:rsidRPr="002514CB">
        <w:rPr>
          <w:b/>
          <w:bCs/>
        </w:rPr>
        <w:t>[Date]</w:t>
      </w:r>
    </w:p>
    <w:p w:rsidR="002514CB" w:rsidP="002514CB" w14:paraId="433EBA66" w14:textId="77777777">
      <w:pPr>
        <w:pStyle w:val="BodyText"/>
        <w:keepNext/>
        <w:tabs>
          <w:tab w:val="left" w:pos="425"/>
          <w:tab w:val="right" w:leader="dot" w:pos="4253"/>
        </w:tabs>
      </w:pPr>
    </w:p>
    <w:p w:rsidR="002514CB" w:rsidP="002514CB" w14:paraId="5881C12E" w14:textId="77777777">
      <w:pPr>
        <w:pStyle w:val="BodyText"/>
        <w:keepNext/>
        <w:tabs>
          <w:tab w:val="left" w:pos="425"/>
          <w:tab w:val="right" w:leader="dot" w:pos="4253"/>
        </w:tabs>
      </w:pPr>
    </w:p>
    <w:p w:rsidR="002514CB" w:rsidP="002514CB" w14:paraId="04DCF1A8" w14:textId="77777777">
      <w:pPr>
        <w:widowControl w:val="0"/>
        <w:tabs>
          <w:tab w:val="left" w:pos="3262"/>
        </w:tabs>
        <w:autoSpaceDE w:val="0"/>
        <w:autoSpaceDN w:val="0"/>
        <w:spacing w:before="1"/>
        <w:ind w:left="460" w:right="6075" w:hanging="360"/>
        <w:jc w:val="left"/>
        <w:rPr>
          <w:rFonts w:eastAsiaTheme="minorEastAsia"/>
        </w:rPr>
      </w:pPr>
      <w:r>
        <w:rPr>
          <w:rFonts w:eastAsia="Times New Roman"/>
        </w:rPr>
        <w:t xml:space="preserve">By: </w:t>
      </w:r>
      <w:r w:rsidRPr="005F1231">
        <w:rPr>
          <w:rFonts w:eastAsia="Times New Roman"/>
          <w:u w:val="single"/>
        </w:rPr>
        <w:tab/>
      </w:r>
      <w:r w:rsidRPr="005F1231">
        <w:rPr>
          <w:rFonts w:eastAsia="Times New Roman"/>
        </w:rPr>
        <w:t xml:space="preserve"> </w:t>
      </w:r>
    </w:p>
    <w:p w:rsidR="002514CB" w:rsidP="002514CB" w14:paraId="2BEC8C47" w14:textId="77777777">
      <w:pPr>
        <w:widowControl w:val="0"/>
        <w:tabs>
          <w:tab w:val="left" w:pos="3262"/>
        </w:tabs>
        <w:autoSpaceDE w:val="0"/>
        <w:autoSpaceDN w:val="0"/>
        <w:spacing w:before="1"/>
        <w:ind w:left="460" w:right="6075" w:hanging="10"/>
        <w:jc w:val="left"/>
        <w:rPr>
          <w:rFonts w:eastAsia="Times New Roman"/>
        </w:rPr>
      </w:pPr>
      <w:r w:rsidRPr="005F1231">
        <w:rPr>
          <w:rFonts w:eastAsia="Times New Roman"/>
        </w:rPr>
        <w:t>Name:</w:t>
      </w:r>
      <w:r>
        <w:rPr>
          <w:rFonts w:eastAsia="Times New Roman"/>
        </w:rPr>
        <w:t xml:space="preserve"> </w:t>
      </w:r>
    </w:p>
    <w:p w:rsidR="002B1EA2" w:rsidRPr="002514CB" w:rsidP="002514CB" w14:paraId="571EB720" w14:textId="2CCE5B5B">
      <w:pPr>
        <w:widowControl w:val="0"/>
        <w:tabs>
          <w:tab w:val="left" w:pos="3262"/>
        </w:tabs>
        <w:autoSpaceDE w:val="0"/>
        <w:autoSpaceDN w:val="0"/>
        <w:spacing w:before="1"/>
        <w:ind w:left="460" w:right="6075" w:hanging="10"/>
        <w:jc w:val="left"/>
        <w:rPr>
          <w:rFonts w:eastAsia="Times New Roman"/>
        </w:rPr>
      </w:pPr>
      <w:r w:rsidRPr="005F1231">
        <w:rPr>
          <w:rFonts w:eastAsia="Times New Roman"/>
        </w:rPr>
        <w:t>Title:</w:t>
      </w:r>
      <w:r w:rsidRPr="00395EC6">
        <w:t xml:space="preserve"> </w:t>
      </w:r>
      <w:r>
        <w:t xml:space="preserve"> </w:t>
      </w:r>
    </w:p>
    <w:p w:rsidR="002B2D65" w:rsidRPr="00A469A2" w:rsidP="00A469A2" w14:paraId="579A7314" w14:textId="752A3C46">
      <w:pPr>
        <w:pStyle w:val="BodyText0"/>
        <w:rPr>
          <w:snapToGrid w:val="0"/>
        </w:rPr>
      </w:pPr>
    </w:p>
    <w:p w:rsidR="00697A1B" w:rsidP="00697A1B" w14:paraId="686E8A60" w14:textId="77777777">
      <w:pPr>
        <w:pStyle w:val="AppendixHeadingTitle"/>
        <w:rPr>
          <w:snapToGrid w:val="0"/>
        </w:rPr>
      </w:pPr>
      <w:bookmarkStart w:id="294" w:name="_Ref517408125"/>
      <w:bookmarkStart w:id="295" w:name="_Toc517409066"/>
    </w:p>
    <w:p w:rsidR="001C5107" w:rsidRPr="00A469A2" w:rsidP="00697A1B" w14:paraId="040410CF" w14:textId="581CEAF4">
      <w:pPr>
        <w:pStyle w:val="AppendixHeading1"/>
        <w:rPr>
          <w:snapToGrid w:val="0"/>
        </w:rPr>
      </w:pPr>
      <w:r w:rsidRPr="00A469A2">
        <w:rPr>
          <w:snapToGrid w:val="0"/>
        </w:rPr>
        <w:t>Secretaries’ Certificate</w:t>
      </w:r>
      <w:bookmarkEnd w:id="294"/>
      <w:bookmarkEnd w:id="295"/>
    </w:p>
    <w:p w:rsidR="0093225B" w:rsidRPr="00267196" w:rsidP="0093225B" w14:paraId="2EDB7804" w14:textId="4081BF37">
      <w:pPr>
        <w:pStyle w:val="BodyText"/>
      </w:pPr>
      <w:r>
        <w:t xml:space="preserve">We, </w:t>
      </w:r>
      <w:r w:rsidRPr="0093225B">
        <w:rPr>
          <w:b/>
          <w:bCs/>
        </w:rPr>
        <w:t>[Name]</w:t>
      </w:r>
      <w:r>
        <w:t xml:space="preserve"> and </w:t>
      </w:r>
      <w:r w:rsidRPr="0093225B">
        <w:rPr>
          <w:b/>
          <w:bCs/>
        </w:rPr>
        <w:t>[Name]</w:t>
      </w:r>
      <w:r>
        <w:t xml:space="preserve">, </w:t>
      </w:r>
      <w:r w:rsidRPr="00267196">
        <w:t xml:space="preserve">the </w:t>
      </w:r>
      <w:r>
        <w:t xml:space="preserve">joint </w:t>
      </w:r>
      <w:r w:rsidRPr="00267196">
        <w:t>company secretar</w:t>
      </w:r>
      <w:r>
        <w:t>ies of</w:t>
      </w:r>
      <w:r w:rsidRPr="00267196">
        <w:t xml:space="preserve"> </w:t>
      </w:r>
      <w:r>
        <w:rPr>
          <w:b/>
          <w:bCs/>
          <w:lang w:eastAsia="zh-CN"/>
        </w:rPr>
        <w:t>[</w:t>
      </w:r>
      <w:r w:rsidRPr="002514CB">
        <w:rPr>
          <w:b/>
          <w:bCs/>
          <w:lang w:eastAsia="zh-CN"/>
        </w:rPr>
        <w:t>Company</w:t>
      </w:r>
      <w:r>
        <w:rPr>
          <w:b/>
          <w:bCs/>
          <w:lang w:eastAsia="zh-CN"/>
        </w:rPr>
        <w:t xml:space="preserve"> Name</w:t>
      </w:r>
      <w:r w:rsidRPr="002514CB">
        <w:rPr>
          <w:b/>
          <w:bCs/>
          <w:lang w:eastAsia="zh-CN"/>
        </w:rPr>
        <w:t>]</w:t>
      </w:r>
      <w:r w:rsidRPr="0055767F">
        <w:rPr>
          <w:bCs/>
          <w:snapToGrid w:val="0"/>
        </w:rPr>
        <w:t>,</w:t>
      </w:r>
      <w:r w:rsidRPr="0055767F">
        <w:rPr>
          <w:rFonts w:hint="eastAsia"/>
          <w:snapToGrid w:val="0"/>
        </w:rPr>
        <w:t xml:space="preserve"> </w:t>
      </w:r>
      <w:r>
        <w:rPr>
          <w:snapToGrid w:val="0"/>
        </w:rPr>
        <w:t>[</w:t>
      </w:r>
      <w:r w:rsidRPr="00A469A2">
        <w:rPr>
          <w:rFonts w:hint="eastAsia"/>
          <w:snapToGrid w:val="0"/>
        </w:rPr>
        <w:t>a limited liability company incorporated under the laws of the Cayman Islands</w:t>
      </w:r>
      <w:r>
        <w:rPr>
          <w:snapToGrid w:val="0"/>
        </w:rPr>
        <w:t>]</w:t>
      </w:r>
      <w:r w:rsidRPr="0055767F">
        <w:rPr>
          <w:snapToGrid w:val="0"/>
        </w:rPr>
        <w:t xml:space="preserve">, having its registered office at </w:t>
      </w:r>
      <w:r w:rsidRPr="002514CB">
        <w:rPr>
          <w:b/>
          <w:bCs/>
          <w:snapToGrid w:val="0"/>
        </w:rPr>
        <w:t>[Address]</w:t>
      </w:r>
      <w:r w:rsidRPr="0055767F">
        <w:rPr>
          <w:snapToGrid w:val="0"/>
        </w:rPr>
        <w:t xml:space="preserve"> (the “</w:t>
      </w:r>
      <w:r w:rsidRPr="0055767F">
        <w:rPr>
          <w:b/>
          <w:snapToGrid w:val="0"/>
        </w:rPr>
        <w:t>Company</w:t>
      </w:r>
      <w:r w:rsidRPr="0055767F">
        <w:rPr>
          <w:snapToGrid w:val="0"/>
        </w:rPr>
        <w:t>”)</w:t>
      </w:r>
      <w:r w:rsidRPr="0055767F">
        <w:rPr>
          <w:rFonts w:hint="eastAsia"/>
          <w:snapToGrid w:val="0"/>
          <w:lang w:eastAsia="zh-CN"/>
        </w:rPr>
        <w:t>,</w:t>
      </w:r>
      <w:r w:rsidRPr="00267196">
        <w:rPr>
          <w:b/>
        </w:rPr>
        <w:t xml:space="preserve"> </w:t>
      </w:r>
      <w:r w:rsidRPr="00267196">
        <w:t xml:space="preserve">pursuant to </w:t>
      </w:r>
      <w:r>
        <w:rPr>
          <w:rFonts w:hint="eastAsia"/>
        </w:rPr>
        <w:t xml:space="preserve">Section </w:t>
      </w:r>
      <w:r>
        <w:rPr>
          <w:rFonts w:hint="eastAsia"/>
          <w:lang w:eastAsia="zh-CN"/>
        </w:rPr>
        <w:t>8</w:t>
      </w:r>
      <w:r>
        <w:t>(c)</w:t>
      </w:r>
      <w:r>
        <w:rPr>
          <w:rFonts w:hint="eastAsia"/>
        </w:rPr>
        <w:t xml:space="preserve"> of </w:t>
      </w:r>
      <w:r w:rsidRPr="00267196">
        <w:t xml:space="preserve">the international underwriting agreement, dated </w:t>
      </w:r>
      <w:r w:rsidRPr="0093225B">
        <w:rPr>
          <w:b/>
          <w:bCs/>
        </w:rPr>
        <w:t>[Date]</w:t>
      </w:r>
      <w:r w:rsidRPr="00267196">
        <w:t xml:space="preserve"> (the </w:t>
      </w:r>
      <w:r>
        <w:t>“</w:t>
      </w:r>
      <w:r w:rsidRPr="00267196">
        <w:rPr>
          <w:b/>
        </w:rPr>
        <w:t>International Underwriting Agreement</w:t>
      </w:r>
      <w:r>
        <w:t>”</w:t>
      </w:r>
      <w:r w:rsidRPr="00267196">
        <w:t>),</w:t>
      </w:r>
      <w:r w:rsidRPr="00267196">
        <w:rPr>
          <w:b/>
        </w:rPr>
        <w:t xml:space="preserve"> </w:t>
      </w:r>
      <w:r w:rsidRPr="00267196">
        <w:t xml:space="preserve">among the Company, </w:t>
      </w:r>
      <w:r>
        <w:t>the</w:t>
      </w:r>
      <w:r w:rsidRPr="00731186">
        <w:t xml:space="preserve"> Warranting Shareholders</w:t>
      </w:r>
      <w:r>
        <w:t xml:space="preserve">, </w:t>
      </w:r>
      <w:r w:rsidRPr="009316A0">
        <w:t>the several International Underwriters named therein</w:t>
      </w:r>
      <w:r w:rsidRPr="00267196">
        <w:t xml:space="preserve">, and pursuant to </w:t>
      </w:r>
      <w:r>
        <w:t>Schedule</w:t>
      </w:r>
      <w:r>
        <w:rPr>
          <w:rFonts w:hint="eastAsia"/>
        </w:rPr>
        <w:t xml:space="preserve"> </w:t>
      </w:r>
      <w:r w:rsidRPr="005D3FE2">
        <w:t>3</w:t>
      </w:r>
      <w:r>
        <w:rPr>
          <w:rFonts w:hint="eastAsia"/>
        </w:rPr>
        <w:t xml:space="preserve"> of t</w:t>
      </w:r>
      <w:r w:rsidRPr="00267196">
        <w:t xml:space="preserve">he Hong Kong underwriting agreement, dated </w:t>
      </w:r>
      <w:r>
        <w:t> </w:t>
      </w:r>
      <w:r w:rsidRPr="0093225B">
        <w:rPr>
          <w:b/>
          <w:bCs/>
        </w:rPr>
        <w:t>[Date]</w:t>
      </w:r>
      <w:r w:rsidRPr="00267196">
        <w:t xml:space="preserve"> (the </w:t>
      </w:r>
      <w:r>
        <w:t>“</w:t>
      </w:r>
      <w:r w:rsidRPr="00267196">
        <w:rPr>
          <w:b/>
        </w:rPr>
        <w:t>Hong Kong Underwriting Agreement</w:t>
      </w:r>
      <w:r>
        <w:t>”</w:t>
      </w:r>
      <w:r w:rsidRPr="00267196">
        <w:t>),</w:t>
      </w:r>
      <w:r w:rsidRPr="00267196">
        <w:rPr>
          <w:b/>
        </w:rPr>
        <w:t xml:space="preserve"> </w:t>
      </w:r>
      <w:r w:rsidRPr="00267196">
        <w:t>among the Company</w:t>
      </w:r>
      <w:r>
        <w:rPr>
          <w:rFonts w:hint="eastAsia"/>
        </w:rPr>
        <w:t xml:space="preserve">, </w:t>
      </w:r>
      <w:r>
        <w:t>the</w:t>
      </w:r>
      <w:r w:rsidRPr="00731186">
        <w:t xml:space="preserve"> Warranting Shareholders</w:t>
      </w:r>
      <w:r>
        <w:t>, the Overall Coordinators,</w:t>
      </w:r>
      <w:r w:rsidRPr="009316A0">
        <w:t xml:space="preserve"> the several</w:t>
      </w:r>
      <w:r w:rsidRPr="00267196">
        <w:t xml:space="preserve"> Hong Kong Underwriters named therein,</w:t>
      </w:r>
      <w:r>
        <w:t xml:space="preserve"> </w:t>
      </w:r>
      <w:r w:rsidRPr="00267196">
        <w:t>hereby certify that:</w:t>
      </w:r>
      <w:r>
        <w:t xml:space="preserve"> </w:t>
      </w:r>
    </w:p>
    <w:p w:rsidR="0093225B" w:rsidRPr="00267196" w:rsidP="0093225B" w14:paraId="3497EB00" w14:textId="368D3CFC">
      <w:pPr>
        <w:pStyle w:val="Schedule1L3"/>
        <w:numPr>
          <w:ilvl w:val="2"/>
          <w:numId w:val="35"/>
        </w:numPr>
        <w:outlineLvl w:val="9"/>
      </w:pPr>
      <w:bookmarkStart w:id="296" w:name="_Ref367265734"/>
      <w:r w:rsidRPr="00267196">
        <w:t xml:space="preserve">Attached hereto as </w:t>
      </w:r>
      <w:r w:rsidRPr="00B32C7D">
        <w:rPr>
          <w:u w:val="single"/>
        </w:rPr>
        <w:t>Appendix A</w:t>
      </w:r>
      <w:r w:rsidRPr="00267196">
        <w:t xml:space="preserve"> is a true, accurate and complete copy of the articles of association of the Company (together with copies of resolutions annexed thereto), as amended on </w:t>
      </w:r>
      <w:r w:rsidRPr="0093225B">
        <w:rPr>
          <w:b/>
          <w:bCs/>
        </w:rPr>
        <w:t>[Date]</w:t>
      </w:r>
      <w:r w:rsidRPr="00267196">
        <w:t xml:space="preserve">, which will become effective on </w:t>
      </w:r>
      <w:r w:rsidRPr="0093225B">
        <w:rPr>
          <w:b/>
          <w:bCs/>
        </w:rPr>
        <w:t>[Date]</w:t>
      </w:r>
      <w:r w:rsidRPr="00267196">
        <w:t>.</w:t>
      </w:r>
      <w:bookmarkEnd w:id="296"/>
    </w:p>
    <w:p w:rsidR="0093225B" w:rsidRPr="00267196" w:rsidP="0093225B" w14:paraId="431F25A8" w14:textId="62F04697">
      <w:pPr>
        <w:pStyle w:val="Schedule1L3"/>
        <w:numPr>
          <w:ilvl w:val="2"/>
          <w:numId w:val="35"/>
        </w:numPr>
        <w:outlineLvl w:val="9"/>
      </w:pPr>
      <w:bookmarkStart w:id="297" w:name="_Ref367265735"/>
      <w:r w:rsidRPr="00267196">
        <w:t xml:space="preserve">Attached hereto as </w:t>
      </w:r>
      <w:r w:rsidRPr="00B32C7D">
        <w:rPr>
          <w:u w:val="single"/>
        </w:rPr>
        <w:t>Appendix B</w:t>
      </w:r>
      <w:r w:rsidRPr="00267196">
        <w:t xml:space="preserve"> are true, accurate and complete copies of resolutions duly adopted by </w:t>
      </w:r>
      <w:bookmarkStart w:id="298" w:name="DocXTextRef157"/>
      <w:r w:rsidRPr="00267196">
        <w:t>(i)</w:t>
      </w:r>
      <w:bookmarkEnd w:id="298"/>
      <w:r w:rsidRPr="00267196">
        <w:t xml:space="preserve"> the board of directors of the Company </w:t>
      </w:r>
      <w:r>
        <w:t xml:space="preserve">or a committee </w:t>
      </w:r>
      <w:r w:rsidRPr="00267196">
        <w:t xml:space="preserve">hereof at meetings duly called and held on </w:t>
      </w:r>
      <w:r w:rsidRPr="0093225B">
        <w:rPr>
          <w:b/>
          <w:bCs/>
        </w:rPr>
        <w:t>[Date]</w:t>
      </w:r>
      <w:r w:rsidRPr="00267196">
        <w:t>, and (ii) the Company</w:t>
      </w:r>
      <w:r>
        <w:t>’</w:t>
      </w:r>
      <w:r w:rsidRPr="00267196">
        <w:t xml:space="preserve">s shareholders at a meeting duly called and held on </w:t>
      </w:r>
      <w:r w:rsidRPr="0093225B">
        <w:rPr>
          <w:b/>
          <w:bCs/>
        </w:rPr>
        <w:t>[Date]</w:t>
      </w:r>
      <w:r w:rsidRPr="00267196">
        <w:t>, at each of which a quorum was present and acting throughout; such resolutions have not been amended, modified or rescinded and remain in full force and effect; and such resolutions are the only resolutions adopted by the Company</w:t>
      </w:r>
      <w:r>
        <w:t>’</w:t>
      </w:r>
      <w:r w:rsidRPr="00267196">
        <w:t>s board of directors or any committee thereof or by the Company</w:t>
      </w:r>
      <w:r>
        <w:t>’</w:t>
      </w:r>
      <w:r w:rsidRPr="00267196">
        <w:t xml:space="preserve">s shareholders relating to the Global Offering. In connection with the Global Offering, the Company has entered into the international underwriting agreement, dated </w:t>
      </w:r>
      <w:r w:rsidRPr="0093225B">
        <w:rPr>
          <w:b/>
          <w:bCs/>
        </w:rPr>
        <w:t>[Date]</w:t>
      </w:r>
      <w:r w:rsidRPr="00267196">
        <w:t xml:space="preserve"> (the </w:t>
      </w:r>
      <w:r>
        <w:t>“</w:t>
      </w:r>
      <w:r w:rsidRPr="00267196">
        <w:rPr>
          <w:b/>
        </w:rPr>
        <w:t>International Underwriting Agreement</w:t>
      </w:r>
      <w:r>
        <w:t>”</w:t>
      </w:r>
      <w:r w:rsidRPr="00267196">
        <w:t>)</w:t>
      </w:r>
      <w:r w:rsidRPr="00267196">
        <w:rPr>
          <w:b/>
        </w:rPr>
        <w:t xml:space="preserve"> </w:t>
      </w:r>
      <w:r w:rsidRPr="00267196">
        <w:t xml:space="preserve">with </w:t>
      </w:r>
      <w:r>
        <w:t>the</w:t>
      </w:r>
      <w:r w:rsidRPr="000848A7">
        <w:t xml:space="preserve"> Warranting Shareholders</w:t>
      </w:r>
      <w:r>
        <w:t>, the Joint Sponsors, the Overall Coordinators</w:t>
      </w:r>
      <w:r w:rsidRPr="009316A0">
        <w:t xml:space="preserve"> for themselves and on behalf of the several International Underwriters named therein</w:t>
      </w:r>
      <w:r w:rsidRPr="00267196">
        <w:t xml:space="preserve">, and the Hong Kong underwriting agreement dated </w:t>
      </w:r>
      <w:r w:rsidRPr="0093225B">
        <w:rPr>
          <w:b/>
          <w:bCs/>
        </w:rPr>
        <w:t>[Date]</w:t>
      </w:r>
      <w:r w:rsidRPr="00267196">
        <w:t xml:space="preserve"> (the </w:t>
      </w:r>
      <w:r>
        <w:t>“</w:t>
      </w:r>
      <w:r w:rsidRPr="00267196">
        <w:rPr>
          <w:b/>
        </w:rPr>
        <w:t>Hong Kong Underwriting Agreement</w:t>
      </w:r>
      <w:r>
        <w:t>”</w:t>
      </w:r>
      <w:r w:rsidRPr="00267196">
        <w:t>)</w:t>
      </w:r>
      <w:r w:rsidRPr="00267196">
        <w:rPr>
          <w:b/>
        </w:rPr>
        <w:t xml:space="preserve"> </w:t>
      </w:r>
      <w:r w:rsidRPr="00267196">
        <w:t xml:space="preserve">with </w:t>
      </w:r>
      <w:r>
        <w:t>the</w:t>
      </w:r>
      <w:r w:rsidRPr="000848A7">
        <w:t xml:space="preserve"> Warranting Shareholders</w:t>
      </w:r>
      <w:r>
        <w:t>, the Joint Sponsors, the Overall Coordinators</w:t>
      </w:r>
      <w:r w:rsidRPr="009316A0">
        <w:t xml:space="preserve"> for themselves and on behalf of the several</w:t>
      </w:r>
      <w:r w:rsidRPr="00267196">
        <w:t xml:space="preserve"> Hong Kong Underwriters named therein.</w:t>
      </w:r>
      <w:bookmarkEnd w:id="297"/>
    </w:p>
    <w:p w:rsidR="0093225B" w:rsidRPr="00267196" w:rsidP="0093225B" w14:paraId="1CF482E3" w14:textId="0878BAF5">
      <w:pPr>
        <w:pStyle w:val="Schedule1L3"/>
        <w:numPr>
          <w:ilvl w:val="2"/>
          <w:numId w:val="35"/>
        </w:numPr>
        <w:outlineLvl w:val="9"/>
      </w:pPr>
      <w:bookmarkStart w:id="299" w:name="_Ref367265736"/>
      <w:r>
        <w:t>Each of t</w:t>
      </w:r>
      <w:r w:rsidRPr="00267196">
        <w:t xml:space="preserve">he International Underwriting Agreement and the Hong Kong Underwriting Agreement, as executed and delivered on behalf of the Company, is in the form or substantially the form approved by the board of directors of the Company at its meeting held on </w:t>
      </w:r>
      <w:r w:rsidRPr="0093225B">
        <w:rPr>
          <w:b/>
          <w:bCs/>
        </w:rPr>
        <w:t>[Date]</w:t>
      </w:r>
      <w:r w:rsidRPr="00267196">
        <w:t>.</w:t>
      </w:r>
      <w:bookmarkEnd w:id="299"/>
    </w:p>
    <w:p w:rsidR="0093225B" w:rsidRPr="00267196" w:rsidP="0093225B" w14:paraId="6B4E04AC" w14:textId="423BE313">
      <w:pPr>
        <w:pStyle w:val="Schedule1L3"/>
        <w:numPr>
          <w:ilvl w:val="2"/>
          <w:numId w:val="35"/>
        </w:numPr>
        <w:outlineLvl w:val="9"/>
      </w:pPr>
      <w:bookmarkStart w:id="300" w:name="_Ref367265737"/>
      <w:r w:rsidRPr="00267196">
        <w:t>There have not been any written communications, or any memoranda relating to conversations, between the Company, its directors, officers</w:t>
      </w:r>
      <w:r>
        <w:t>,</w:t>
      </w:r>
      <w:r w:rsidRPr="00267196">
        <w:t xml:space="preserve"> </w:t>
      </w:r>
      <w:r w:rsidRPr="00CB0C5E">
        <w:t>supervisors</w:t>
      </w:r>
      <w:r>
        <w:t xml:space="preserve"> </w:t>
      </w:r>
      <w:r w:rsidRPr="00267196">
        <w:t>and employees</w:t>
      </w:r>
      <w:r>
        <w:t xml:space="preserve">, </w:t>
      </w:r>
      <w:r w:rsidRPr="00267196">
        <w:t xml:space="preserve">its accountants, counsel or representatives (excluding, for the avoidance of doubt, the </w:t>
      </w:r>
      <w:r>
        <w:t>Joint Sponsors</w:t>
      </w:r>
      <w:r w:rsidRPr="00267196">
        <w:t xml:space="preserve"> to the Company</w:t>
      </w:r>
      <w:r>
        <w:t>’</w:t>
      </w:r>
      <w:r w:rsidRPr="00267196">
        <w:t xml:space="preserve">s application for the listing of the </w:t>
      </w:r>
      <w:r>
        <w:t>Shares</w:t>
      </w:r>
      <w:r w:rsidRPr="00267196">
        <w:t xml:space="preserve"> on the Stock Exchange) on the one hand and the Stock Exchange, the SFC</w:t>
      </w:r>
      <w:r>
        <w:t>, the CSRC</w:t>
      </w:r>
      <w:r w:rsidRPr="00267196">
        <w:t xml:space="preserve"> or any applicable Authority, or their respective staff, on the other hand, relating to the Global Offering and/or the listing of the </w:t>
      </w:r>
      <w:r>
        <w:t>Shares</w:t>
      </w:r>
      <w:r w:rsidRPr="00267196">
        <w:t xml:space="preserve"> on the Stock Exchange, of which the International Underwriters have not been made aware.</w:t>
      </w:r>
      <w:bookmarkEnd w:id="300"/>
    </w:p>
    <w:p w:rsidR="0093225B" w:rsidRPr="00267196" w:rsidP="0093225B" w14:paraId="2B161BE5" w14:textId="77777777">
      <w:pPr>
        <w:pStyle w:val="Schedule1L3"/>
        <w:numPr>
          <w:ilvl w:val="2"/>
          <w:numId w:val="35"/>
        </w:numPr>
        <w:outlineLvl w:val="9"/>
      </w:pPr>
      <w:bookmarkStart w:id="301" w:name="_Ref367265738"/>
      <w:r w:rsidRPr="00267196">
        <w:t>Each person who, as a director or officer of the Company or attorney-in-fact of such director or officer, signed the International Underwriting Agreement and the Hong Kong Underwriting Agreement and any other document delivered prior to or on the date hereof in connection with the Global Offering was at the respective times of such signing and delivery and is now duly elected or appointed, qualified and acting as such director or officer or duly appointed and acting as such attorney-in-fact, and the signatures of such persons appearing on such documents are their genuine signatures.</w:t>
      </w:r>
      <w:bookmarkEnd w:id="301"/>
    </w:p>
    <w:p w:rsidR="0093225B" w:rsidRPr="00267196" w:rsidP="0093225B" w14:paraId="0A38D8C4" w14:textId="77777777">
      <w:pPr>
        <w:pStyle w:val="BodyText"/>
      </w:pPr>
      <w:r w:rsidRPr="00267196">
        <w:t>Capitalized terms used herein that are not otherwise defined shall have the same meanings as defined in the International Underwriting Agreement.</w:t>
      </w:r>
    </w:p>
    <w:p w:rsidR="0093225B" w:rsidRPr="00267196" w:rsidP="0093225B" w14:paraId="41E09000" w14:textId="76FDED7F">
      <w:pPr>
        <w:pStyle w:val="BodyText"/>
        <w:keepNext/>
      </w:pPr>
      <w:r>
        <w:rPr>
          <w:b/>
        </w:rPr>
        <w:br w:type="page"/>
      </w:r>
      <w:r w:rsidRPr="00267196">
        <w:rPr>
          <w:b/>
        </w:rPr>
        <w:t>IN WITNESS WHEREOF</w:t>
      </w:r>
      <w:r w:rsidRPr="00267196">
        <w:t>, the undersigned have/has hereunto executed this certificate.</w:t>
      </w:r>
    </w:p>
    <w:p w:rsidR="0093225B" w:rsidP="0093225B" w14:paraId="5F011DB3" w14:textId="7F944A93">
      <w:pPr>
        <w:pStyle w:val="BodyText"/>
        <w:keepNext/>
        <w:rPr>
          <w:b/>
          <w:bCs/>
        </w:rPr>
      </w:pPr>
      <w:r w:rsidRPr="00267196">
        <w:t xml:space="preserve">Dated:  </w:t>
      </w:r>
      <w:r w:rsidRPr="0093225B">
        <w:rPr>
          <w:b/>
          <w:bCs/>
        </w:rPr>
        <w:t>[Date]</w:t>
      </w:r>
    </w:p>
    <w:p w:rsidR="0093225B" w:rsidP="0093225B" w14:paraId="25C19E58" w14:textId="77777777">
      <w:pPr>
        <w:pStyle w:val="BodyText"/>
        <w:keepNext/>
        <w:rPr>
          <w:b/>
          <w:bCs/>
        </w:rPr>
      </w:pPr>
    </w:p>
    <w:p w:rsidR="0093225B" w:rsidP="0093225B" w14:paraId="0F35E5FD" w14:textId="77777777">
      <w:pPr>
        <w:widowControl w:val="0"/>
        <w:tabs>
          <w:tab w:val="left" w:pos="3262"/>
        </w:tabs>
        <w:autoSpaceDE w:val="0"/>
        <w:autoSpaceDN w:val="0"/>
        <w:spacing w:before="1"/>
        <w:ind w:left="460" w:right="6075" w:hanging="360"/>
        <w:jc w:val="left"/>
        <w:rPr>
          <w:rFonts w:eastAsiaTheme="minorEastAsia"/>
        </w:rPr>
      </w:pPr>
      <w:r>
        <w:rPr>
          <w:rFonts w:eastAsia="Times New Roman"/>
        </w:rPr>
        <w:t xml:space="preserve">By: </w:t>
      </w:r>
      <w:r w:rsidRPr="005F1231">
        <w:rPr>
          <w:rFonts w:eastAsia="Times New Roman"/>
          <w:u w:val="single"/>
        </w:rPr>
        <w:tab/>
      </w:r>
      <w:r w:rsidRPr="005F1231">
        <w:rPr>
          <w:rFonts w:eastAsia="Times New Roman"/>
        </w:rPr>
        <w:t xml:space="preserve"> </w:t>
      </w:r>
    </w:p>
    <w:p w:rsidR="0093225B" w:rsidP="0093225B" w14:paraId="5CBB8224" w14:textId="631D96B2">
      <w:pPr>
        <w:widowControl w:val="0"/>
        <w:tabs>
          <w:tab w:val="left" w:pos="3262"/>
        </w:tabs>
        <w:autoSpaceDE w:val="0"/>
        <w:autoSpaceDN w:val="0"/>
        <w:spacing w:before="1"/>
        <w:ind w:left="460" w:right="6075" w:hanging="10"/>
        <w:jc w:val="left"/>
      </w:pPr>
      <w:r w:rsidRPr="005F1231">
        <w:rPr>
          <w:rFonts w:eastAsia="Times New Roman"/>
        </w:rPr>
        <w:t>Name:</w:t>
      </w:r>
      <w:r>
        <w:rPr>
          <w:rFonts w:eastAsia="Times New Roman"/>
        </w:rPr>
        <w:t xml:space="preserve"> </w:t>
      </w:r>
    </w:p>
    <w:p w:rsidR="0093225B" w:rsidRPr="0093225B" w:rsidP="0093225B" w14:paraId="46499069" w14:textId="207C7EEA">
      <w:pPr>
        <w:widowControl w:val="0"/>
        <w:tabs>
          <w:tab w:val="left" w:pos="3262"/>
        </w:tabs>
        <w:autoSpaceDE w:val="0"/>
        <w:autoSpaceDN w:val="0"/>
        <w:spacing w:before="1"/>
        <w:ind w:left="460" w:right="6075" w:hanging="10"/>
        <w:jc w:val="left"/>
        <w:rPr>
          <w:rFonts w:eastAsia="Times New Roman"/>
        </w:rPr>
      </w:pPr>
      <w:r w:rsidRPr="005F1231">
        <w:rPr>
          <w:rFonts w:eastAsia="Times New Roman"/>
        </w:rPr>
        <w:t>Title:</w:t>
      </w:r>
      <w:r w:rsidRPr="00395EC6">
        <w:t xml:space="preserve"> </w:t>
      </w:r>
      <w:r>
        <w:t xml:space="preserve"> </w:t>
      </w:r>
    </w:p>
    <w:p w:rsidR="002B1EA2" w:rsidRPr="00D45DAF" w:rsidP="002B1EA2" w14:paraId="480552DB" w14:textId="35162D7A">
      <w:pPr>
        <w:pStyle w:val="BodyText0"/>
        <w:jc w:val="center"/>
        <w:rPr>
          <w:snapToGrid w:val="0"/>
        </w:rPr>
      </w:pPr>
    </w:p>
    <w:p w:rsidR="00282626" w:rsidRPr="00A469A2" w:rsidP="00A469A2" w14:paraId="24699BFC" w14:textId="0005B0F1">
      <w:pPr>
        <w:pStyle w:val="BodyText0"/>
        <w:rPr>
          <w:snapToGrid w:val="0"/>
        </w:rPr>
      </w:pPr>
    </w:p>
    <w:p w:rsidR="001C5107" w:rsidRPr="00A469A2" w:rsidP="00A469A2" w14:paraId="77A6CDE6" w14:textId="77777777">
      <w:pPr>
        <w:pStyle w:val="BodyText0"/>
        <w:rPr>
          <w:snapToGrid w:val="0"/>
        </w:rPr>
      </w:pPr>
    </w:p>
    <w:p w:rsidR="00D960D2" w:rsidP="00D960D2" w14:paraId="58C67AF3" w14:textId="77777777">
      <w:pPr>
        <w:pStyle w:val="AppendixHeadingTitle"/>
        <w:rPr>
          <w:snapToGrid w:val="0"/>
        </w:rPr>
      </w:pPr>
      <w:bookmarkStart w:id="302" w:name="_Ref517408129"/>
      <w:bookmarkStart w:id="303" w:name="_Toc517409067"/>
    </w:p>
    <w:p w:rsidR="001C5107" w:rsidRPr="00A469A2" w:rsidP="00D960D2" w14:paraId="7024200E" w14:textId="62C91F66">
      <w:pPr>
        <w:pStyle w:val="AppendixHeading1"/>
        <w:rPr>
          <w:snapToGrid w:val="0"/>
        </w:rPr>
      </w:pPr>
      <w:r w:rsidRPr="00A469A2">
        <w:rPr>
          <w:snapToGrid w:val="0"/>
        </w:rPr>
        <w:t xml:space="preserve">Certificate of the </w:t>
      </w:r>
      <w:bookmarkEnd w:id="302"/>
      <w:bookmarkEnd w:id="303"/>
      <w:r w:rsidRPr="00A469A2" w:rsidR="00096C80">
        <w:rPr>
          <w:snapToGrid w:val="0"/>
        </w:rPr>
        <w:t>WARRANTING SHAREHOLDERS</w:t>
      </w:r>
    </w:p>
    <w:p w:rsidR="00386976" w:rsidRPr="00267196" w:rsidP="00386976" w14:paraId="18ED7DF8" w14:textId="11E500FE">
      <w:pPr>
        <w:pStyle w:val="BodyText"/>
      </w:pPr>
      <w:r w:rsidRPr="00386976">
        <w:rPr>
          <w:b/>
          <w:snapToGrid w:val="0"/>
        </w:rPr>
        <w:t>[</w:t>
      </w:r>
      <w:r w:rsidRPr="00386976">
        <w:rPr>
          <w:b/>
        </w:rPr>
        <w:t>Name of the Warranting Shareholders</w:t>
      </w:r>
      <w:r w:rsidRPr="00386976">
        <w:rPr>
          <w:b/>
          <w:snapToGrid w:val="0"/>
        </w:rPr>
        <w:t>]</w:t>
      </w:r>
      <w:r w:rsidRPr="00411DE5">
        <w:rPr>
          <w:bCs/>
          <w:spacing w:val="-2"/>
        </w:rPr>
        <w:t>,</w:t>
      </w:r>
      <w:r w:rsidRPr="00267196">
        <w:t xml:space="preserve"> pursuant to </w:t>
      </w:r>
      <w:r>
        <w:rPr>
          <w:rFonts w:hint="eastAsia"/>
        </w:rPr>
        <w:t xml:space="preserve">Section </w:t>
      </w:r>
      <w:r>
        <w:rPr>
          <w:rFonts w:hint="eastAsia"/>
          <w:lang w:eastAsia="zh-CN"/>
        </w:rPr>
        <w:t>8</w:t>
      </w:r>
      <w:r>
        <w:t>(d)</w:t>
      </w:r>
      <w:r>
        <w:rPr>
          <w:rFonts w:hint="eastAsia"/>
        </w:rPr>
        <w:t xml:space="preserve"> of </w:t>
      </w:r>
      <w:r w:rsidRPr="00267196">
        <w:t xml:space="preserve">the international underwriting agreement, dated </w:t>
      </w:r>
      <w:r w:rsidRPr="00386976">
        <w:rPr>
          <w:b/>
          <w:bCs/>
        </w:rPr>
        <w:t>[Date]</w:t>
      </w:r>
      <w:r w:rsidRPr="00267196">
        <w:t xml:space="preserve"> (the </w:t>
      </w:r>
      <w:r>
        <w:t>“</w:t>
      </w:r>
      <w:r w:rsidRPr="00267196">
        <w:rPr>
          <w:b/>
        </w:rPr>
        <w:t>International Underwriting Agreement</w:t>
      </w:r>
      <w:r>
        <w:t>”</w:t>
      </w:r>
      <w:r w:rsidRPr="00267196">
        <w:t xml:space="preserve">), among </w:t>
      </w:r>
      <w:r w:rsidRPr="00386976">
        <w:rPr>
          <w:b/>
          <w:snapToGrid w:val="0"/>
          <w:lang w:eastAsia="zh-CN"/>
        </w:rPr>
        <w:t>[Company Name]</w:t>
      </w:r>
      <w:r>
        <w:t xml:space="preserve"> </w:t>
      </w:r>
      <w:r w:rsidRPr="00267196">
        <w:t xml:space="preserve">(the </w:t>
      </w:r>
      <w:r>
        <w:t>“</w:t>
      </w:r>
      <w:r w:rsidRPr="00267196">
        <w:rPr>
          <w:b/>
        </w:rPr>
        <w:t>Company</w:t>
      </w:r>
      <w:r>
        <w:t>”</w:t>
      </w:r>
      <w:r w:rsidRPr="00267196">
        <w:t xml:space="preserve">), </w:t>
      </w:r>
      <w:r w:rsidRPr="00C1324F">
        <w:t xml:space="preserve">the </w:t>
      </w:r>
      <w:r>
        <w:t>Warranting Shareholders</w:t>
      </w:r>
      <w:r w:rsidRPr="00C1324F">
        <w:t>, the several International Underwriters named therein</w:t>
      </w:r>
      <w:r>
        <w:t xml:space="preserve">, </w:t>
      </w:r>
      <w:r>
        <w:rPr>
          <w:rFonts w:hint="eastAsia"/>
        </w:rPr>
        <w:t xml:space="preserve">and </w:t>
      </w:r>
      <w:r>
        <w:t>Schedule</w:t>
      </w:r>
      <w:r>
        <w:rPr>
          <w:rFonts w:hint="eastAsia"/>
        </w:rPr>
        <w:t xml:space="preserve"> </w:t>
      </w:r>
      <w:r w:rsidRPr="005D3FE2">
        <w:t>3</w:t>
      </w:r>
      <w:r>
        <w:rPr>
          <w:rFonts w:hint="eastAsia"/>
        </w:rPr>
        <w:t xml:space="preserve"> of </w:t>
      </w:r>
      <w:r w:rsidRPr="00267196">
        <w:t xml:space="preserve">the Hong Kong underwriting agreement dated </w:t>
      </w:r>
      <w:r w:rsidRPr="00386976">
        <w:rPr>
          <w:b/>
          <w:bCs/>
        </w:rPr>
        <w:t>[Date]</w:t>
      </w:r>
      <w:r w:rsidRPr="00267196">
        <w:t xml:space="preserve"> (the </w:t>
      </w:r>
      <w:r>
        <w:t>“</w:t>
      </w:r>
      <w:r w:rsidRPr="00267196">
        <w:rPr>
          <w:b/>
        </w:rPr>
        <w:t>Hong Kong Underwriting Agreement</w:t>
      </w:r>
      <w:r>
        <w:t>”</w:t>
      </w:r>
      <w:r w:rsidRPr="00267196">
        <w:t>), among the Company</w:t>
      </w:r>
      <w:r>
        <w:rPr>
          <w:rFonts w:hint="eastAsia"/>
        </w:rPr>
        <w:t xml:space="preserve">, </w:t>
      </w:r>
      <w:r>
        <w:t xml:space="preserve">the Warranting Shareholders, </w:t>
      </w:r>
      <w:r w:rsidRPr="009316A0">
        <w:t>the several</w:t>
      </w:r>
      <w:r w:rsidRPr="00267196">
        <w:t xml:space="preserve"> Hong Kong Underwriters named therein, hereby certifies that:</w:t>
      </w:r>
    </w:p>
    <w:p w:rsidR="00386976" w:rsidRPr="00267196" w:rsidP="00386976" w14:paraId="6A065BB2" w14:textId="20B99772">
      <w:pPr>
        <w:pStyle w:val="Schedule1L3"/>
        <w:numPr>
          <w:ilvl w:val="2"/>
          <w:numId w:val="34"/>
        </w:numPr>
        <w:outlineLvl w:val="9"/>
      </w:pPr>
      <w:bookmarkStart w:id="304" w:name="_Ref367265739"/>
      <w:r w:rsidRPr="00267196">
        <w:t xml:space="preserve">The representations and warranties </w:t>
      </w:r>
      <w:r>
        <w:rPr>
          <w:rFonts w:hint="eastAsia"/>
        </w:rPr>
        <w:t xml:space="preserve">given by </w:t>
      </w:r>
      <w:r w:rsidRPr="00386976">
        <w:rPr>
          <w:bCs/>
          <w:snapToGrid w:val="0"/>
        </w:rPr>
        <w:t>[</w:t>
      </w:r>
      <w:r w:rsidRPr="00386976">
        <w:rPr>
          <w:b/>
        </w:rPr>
        <w:t>Warranting Shareholders’ Names</w:t>
      </w:r>
      <w:r w:rsidRPr="00386976">
        <w:rPr>
          <w:bCs/>
          <w:snapToGrid w:val="0"/>
        </w:rPr>
        <w:t>]</w:t>
      </w:r>
      <w:r>
        <w:rPr>
          <w:rFonts w:hint="eastAsia"/>
          <w:bCs/>
          <w:snapToGrid w:val="0"/>
        </w:rPr>
        <w:t xml:space="preserve"> </w:t>
      </w:r>
      <w:r w:rsidRPr="00267196">
        <w:t xml:space="preserve">in the International Underwriting Agreement </w:t>
      </w:r>
      <w:r w:rsidRPr="002A4FF8">
        <w:t xml:space="preserve">and the Hong Kong Underwriting Agreement </w:t>
      </w:r>
      <w:r w:rsidRPr="00267196">
        <w:t xml:space="preserve">are true and </w:t>
      </w:r>
      <w:r>
        <w:rPr>
          <w:rFonts w:hint="eastAsia"/>
        </w:rPr>
        <w:t xml:space="preserve">correct </w:t>
      </w:r>
      <w:r w:rsidRPr="002A4FF8">
        <w:t xml:space="preserve">and not misleading </w:t>
      </w:r>
      <w:r w:rsidRPr="00267196">
        <w:t>as of the date hereof as though made on and as of the date hereof;</w:t>
      </w:r>
      <w:bookmarkEnd w:id="304"/>
      <w:r>
        <w:rPr>
          <w:rFonts w:hint="eastAsia"/>
        </w:rPr>
        <w:t xml:space="preserve"> and</w:t>
      </w:r>
    </w:p>
    <w:p w:rsidR="00386976" w:rsidP="00386976" w14:paraId="10F8BC3F" w14:textId="0005628E">
      <w:pPr>
        <w:pStyle w:val="Schedule1L3"/>
        <w:numPr>
          <w:ilvl w:val="2"/>
          <w:numId w:val="34"/>
        </w:numPr>
        <w:outlineLvl w:val="9"/>
      </w:pPr>
      <w:bookmarkStart w:id="305" w:name="_Ref367265740"/>
      <w:r>
        <w:rPr>
          <w:rFonts w:hint="eastAsia"/>
        </w:rPr>
        <w:t xml:space="preserve">Each of </w:t>
      </w:r>
      <w:r w:rsidRPr="009374C6">
        <w:rPr>
          <w:bCs/>
          <w:snapToGrid w:val="0"/>
        </w:rPr>
        <w:t>[</w:t>
      </w:r>
      <w:r w:rsidRPr="00386976">
        <w:rPr>
          <w:b/>
          <w:iCs/>
        </w:rPr>
        <w:t>Warranting Shareholders</w:t>
      </w:r>
      <w:r>
        <w:rPr>
          <w:bCs/>
          <w:snapToGrid w:val="0"/>
        </w:rPr>
        <w:t xml:space="preserve">’ </w:t>
      </w:r>
      <w:r w:rsidRPr="00386976">
        <w:rPr>
          <w:b/>
          <w:snapToGrid w:val="0"/>
        </w:rPr>
        <w:t>Names</w:t>
      </w:r>
      <w:r w:rsidRPr="009374C6">
        <w:rPr>
          <w:bCs/>
          <w:snapToGrid w:val="0"/>
        </w:rPr>
        <w:t>]</w:t>
      </w:r>
      <w:r w:rsidRPr="00267196">
        <w:t xml:space="preserve"> </w:t>
      </w:r>
      <w:r>
        <w:rPr>
          <w:rFonts w:hint="eastAsia"/>
        </w:rPr>
        <w:t>ha</w:t>
      </w:r>
      <w:r>
        <w:t>s</w:t>
      </w:r>
      <w:r w:rsidRPr="00267196">
        <w:t xml:space="preserve"> performed all obligations and satisfied all conditions on </w:t>
      </w:r>
      <w:r>
        <w:rPr>
          <w:rFonts w:hint="eastAsia"/>
        </w:rPr>
        <w:t xml:space="preserve">his or </w:t>
      </w:r>
      <w:r>
        <w:t>its</w:t>
      </w:r>
      <w:r w:rsidRPr="00267196">
        <w:t xml:space="preserve"> part to be performed or satisfied pursuant to the International Underwriting Agreement </w:t>
      </w:r>
      <w:r w:rsidRPr="002A4FF8">
        <w:t xml:space="preserve">and the Hong Kong Underwriting Agreement </w:t>
      </w:r>
      <w:r w:rsidRPr="00267196">
        <w:t>on or prior to the date hereof</w:t>
      </w:r>
      <w:bookmarkEnd w:id="305"/>
      <w:r>
        <w:rPr>
          <w:rFonts w:hint="eastAsia"/>
        </w:rPr>
        <w:t>.</w:t>
      </w:r>
    </w:p>
    <w:p w:rsidR="00386976" w:rsidP="00386976" w14:paraId="315A64AD" w14:textId="77777777">
      <w:pPr>
        <w:pStyle w:val="Schedule1L3"/>
        <w:numPr>
          <w:ilvl w:val="2"/>
          <w:numId w:val="34"/>
        </w:numPr>
        <w:outlineLvl w:val="9"/>
      </w:pPr>
      <w:r>
        <w:t xml:space="preserve">The representations and warranties of the Company in the International Underwriting Agreement and the Hong Kong Underwriting Agreement are true and </w:t>
      </w:r>
      <w:r>
        <w:rPr>
          <w:rFonts w:hint="eastAsia"/>
        </w:rPr>
        <w:t>accurate</w:t>
      </w:r>
      <w:r w:rsidRPr="00267196">
        <w:t xml:space="preserve"> </w:t>
      </w:r>
      <w:r>
        <w:t>and not misleading as of the date hereof as though made on and as of the date hereof; and</w:t>
      </w:r>
    </w:p>
    <w:p w:rsidR="00386976" w:rsidP="00386976" w14:paraId="73D505A1" w14:textId="77777777">
      <w:pPr>
        <w:pStyle w:val="Schedule1L3"/>
        <w:numPr>
          <w:ilvl w:val="2"/>
          <w:numId w:val="34"/>
        </w:numPr>
        <w:outlineLvl w:val="9"/>
      </w:pPr>
      <w:r>
        <w:t>The Company has performed all obligations and satisfied all conditions on its part to be performed or satisfied pursuant to the International Underwriting Agreement and the Hong Kong Underwriting Agreement at or prior to the date hereof.</w:t>
      </w:r>
    </w:p>
    <w:p w:rsidR="00386976" w:rsidRPr="007626E3" w:rsidP="00386976" w14:paraId="4E45E7F3" w14:textId="77777777">
      <w:pPr>
        <w:rPr>
          <w:lang w:val="en-GB" w:eastAsia="zh-CN" w:bidi="ar-AE"/>
        </w:rPr>
      </w:pPr>
    </w:p>
    <w:p w:rsidR="00386976" w:rsidRPr="00267196" w:rsidP="00386976" w14:paraId="6AE035DC" w14:textId="77777777">
      <w:pPr>
        <w:pStyle w:val="BodyText"/>
      </w:pPr>
      <w:r w:rsidRPr="00267196">
        <w:t>Capitalized terms used herein that are not otherwise defined shall have the same meanings as defined in the International Underwriting Agreement.</w:t>
      </w:r>
    </w:p>
    <w:p w:rsidR="00386976" w:rsidRPr="00267196" w:rsidP="00386976" w14:paraId="367F17EF" w14:textId="69A27F2E">
      <w:pPr>
        <w:pStyle w:val="BodyText"/>
      </w:pPr>
      <w:r>
        <w:rPr>
          <w:b/>
        </w:rPr>
        <w:br w:type="page"/>
      </w:r>
      <w:r w:rsidRPr="00267196">
        <w:rPr>
          <w:b/>
        </w:rPr>
        <w:t>IN WITNESS WHEREOF</w:t>
      </w:r>
      <w:r w:rsidRPr="00267196">
        <w:t>, the undersigned have hereunto executed this certificate.</w:t>
      </w:r>
    </w:p>
    <w:p w:rsidR="00386976" w:rsidRPr="00267196" w:rsidP="00386976" w14:paraId="44C5EB97" w14:textId="77777777">
      <w:pPr>
        <w:pStyle w:val="BodyText"/>
      </w:pPr>
      <w:r w:rsidRPr="00267196">
        <w:t xml:space="preserve">Dated:  </w:t>
      </w:r>
      <w:r>
        <w:t>[ </w:t>
      </w:r>
      <w:r>
        <w:rPr>
          <w:rFonts w:ascii="Wingdings 2" w:hAnsi="Wingdings 2"/>
        </w:rPr>
        <w:sym w:font="Wingdings 2" w:char="F098"/>
      </w:r>
      <w:r>
        <w:t> ],</w:t>
      </w:r>
      <w:r w:rsidRPr="00267196">
        <w:t xml:space="preserve"> </w:t>
      </w:r>
      <w:r>
        <w:t>202</w:t>
      </w:r>
      <w:r>
        <w:rPr>
          <w:rFonts w:hint="eastAsia"/>
        </w:rPr>
        <w:t>5</w:t>
      </w:r>
    </w:p>
    <w:p w:rsidR="00386976" w:rsidP="00386976" w14:paraId="77EBC96F" w14:textId="77777777">
      <w:pPr>
        <w:spacing w:before="120"/>
      </w:pPr>
    </w:p>
    <w:p w:rsidR="00386976" w:rsidRPr="00DE67EE" w:rsidP="00386976" w14:paraId="2B9B8F67" w14:textId="77777777">
      <w:pPr>
        <w:spacing w:before="120"/>
      </w:pPr>
    </w:p>
    <w:p w:rsidR="00386976" w:rsidRPr="00386976" w:rsidP="00386976" w14:paraId="69E46FF2" w14:textId="7C4B73DC">
      <w:pPr>
        <w:jc w:val="left"/>
        <w:rPr>
          <w:b/>
        </w:rPr>
      </w:pPr>
      <w:r w:rsidRPr="00386976">
        <w:rPr>
          <w:b/>
        </w:rPr>
        <w:t>[Name]</w:t>
      </w:r>
    </w:p>
    <w:p w:rsidR="00386976" w:rsidP="00386976" w14:paraId="7BA781D5" w14:textId="77777777">
      <w:pPr>
        <w:pStyle w:val="BodyText"/>
        <w:spacing w:before="11"/>
        <w:rPr>
          <w:lang w:eastAsia="zh-TW"/>
        </w:rPr>
      </w:pPr>
    </w:p>
    <w:p w:rsidR="00D45DAF" w:rsidRPr="00D45DAF" w:rsidP="00386976" w14:paraId="5E65518B" w14:textId="3CB959A6">
      <w:pPr>
        <w:pStyle w:val="BodyText0"/>
        <w:rPr>
          <w:snapToGrid w:val="0"/>
        </w:rPr>
      </w:pPr>
      <w:r>
        <w:rPr>
          <w:rFonts w:eastAsia="Times New Roman"/>
        </w:rPr>
        <w:t xml:space="preserve">By: </w:t>
      </w:r>
      <w:r w:rsidRPr="005F1231">
        <w:rPr>
          <w:rFonts w:eastAsia="Times New Roman"/>
          <w:u w:val="single"/>
        </w:rPr>
        <w:tab/>
      </w:r>
      <w:r>
        <w:rPr>
          <w:rFonts w:eastAsia="Times New Roman"/>
          <w:u w:val="single"/>
        </w:rPr>
        <w:tab/>
      </w:r>
      <w:r>
        <w:rPr>
          <w:rFonts w:eastAsia="Times New Roman"/>
          <w:u w:val="single"/>
        </w:rPr>
        <w:tab/>
      </w:r>
      <w:r>
        <w:rPr>
          <w:rFonts w:eastAsia="Times New Roman"/>
          <w:u w:val="single"/>
        </w:rPr>
        <w:tab/>
      </w:r>
    </w:p>
    <w:p w:rsidR="004B16A9" w:rsidRPr="00A469A2" w:rsidP="00A469A2" w14:paraId="63499121" w14:textId="5728E894">
      <w:pPr>
        <w:pStyle w:val="BodyText0"/>
        <w:rPr>
          <w:snapToGrid w:val="0"/>
        </w:rPr>
      </w:pPr>
    </w:p>
    <w:p w:rsidR="008C20B7" w:rsidP="00A469A2" w14:paraId="796E2A53" w14:textId="74FE021B">
      <w:pPr>
        <w:pStyle w:val="BodyText0"/>
        <w:rPr>
          <w:snapToGrid w:val="0"/>
          <w:lang w:eastAsia="zh-TW"/>
        </w:rPr>
      </w:pPr>
    </w:p>
    <w:p w:rsidR="00D960D2" w:rsidRPr="00A469A2" w:rsidP="00D960D2" w14:paraId="4FA3BD2B" w14:textId="77777777">
      <w:pPr>
        <w:pStyle w:val="AppendixHeadingTitle"/>
        <w:rPr>
          <w:snapToGrid w:val="0"/>
          <w:lang w:eastAsia="zh-TW"/>
        </w:rPr>
      </w:pPr>
    </w:p>
    <w:p w:rsidR="001C5107" w:rsidRPr="00A469A2" w:rsidP="00D960D2" w14:paraId="3A7892B0" w14:textId="4ABAA2A2">
      <w:pPr>
        <w:pStyle w:val="AppendixHeading1"/>
        <w:rPr>
          <w:snapToGrid w:val="0"/>
        </w:rPr>
      </w:pPr>
      <w:bookmarkStart w:id="306" w:name="_Ref517408141"/>
      <w:bookmarkStart w:id="307" w:name="_Toc517409068"/>
      <w:r w:rsidRPr="00A469A2">
        <w:rPr>
          <w:snapToGrid w:val="0"/>
        </w:rPr>
        <w:t>Form of Over-Allotment Option Exercise Notice</w:t>
      </w:r>
      <w:bookmarkEnd w:id="306"/>
      <w:bookmarkEnd w:id="307"/>
    </w:p>
    <w:p w:rsidR="00386976" w:rsidRPr="00386976" w:rsidP="00386976" w14:paraId="1F9292F3" w14:textId="466DE7BC">
      <w:pPr>
        <w:pStyle w:val="BodyText"/>
      </w:pPr>
      <w:r w:rsidRPr="00386976">
        <w:t>[</w:t>
      </w:r>
      <w:r w:rsidRPr="00386976">
        <w:rPr>
          <w:b/>
        </w:rPr>
        <w:t>Date</w:t>
      </w:r>
      <w:r w:rsidRPr="00386976">
        <w:t>]</w:t>
      </w:r>
    </w:p>
    <w:p w:rsidR="00386976" w:rsidRPr="00267196" w:rsidP="00386976" w14:paraId="551C45B9" w14:textId="77777777">
      <w:pPr>
        <w:pStyle w:val="BodyText"/>
        <w:keepNext/>
        <w:spacing w:after="0"/>
      </w:pPr>
      <w:r w:rsidRPr="00267196">
        <w:t>To:</w:t>
      </w:r>
    </w:p>
    <w:p w:rsidR="00386976" w:rsidRPr="003F0FFF" w:rsidP="00386976" w14:paraId="38ABB50E" w14:textId="2FD0736E">
      <w:pPr>
        <w:widowControl w:val="0"/>
        <w:autoSpaceDE w:val="0"/>
        <w:autoSpaceDN w:val="0"/>
        <w:spacing w:before="9"/>
        <w:jc w:val="left"/>
        <w:rPr>
          <w:rFonts w:ascii="SimSun" w:eastAsia="Times New Roman"/>
          <w:b/>
          <w:sz w:val="17"/>
        </w:rPr>
      </w:pPr>
      <w:r w:rsidRPr="00386976">
        <w:rPr>
          <w:b/>
          <w:snapToGrid w:val="0"/>
          <w:lang w:eastAsia="zh-CN"/>
        </w:rPr>
        <w:t>[Company Name]</w:t>
      </w:r>
      <w:r>
        <w:t xml:space="preserve"> </w:t>
      </w:r>
      <w:r w:rsidRPr="00267196">
        <w:t xml:space="preserve">(the </w:t>
      </w:r>
      <w:r>
        <w:t>“</w:t>
      </w:r>
      <w:r w:rsidRPr="00267196">
        <w:rPr>
          <w:b/>
        </w:rPr>
        <w:t>Company</w:t>
      </w:r>
      <w:r>
        <w:t>”</w:t>
      </w:r>
      <w:r w:rsidRPr="00267196">
        <w:t>)</w:t>
      </w:r>
    </w:p>
    <w:p w:rsidR="00386976" w:rsidRPr="00386976" w:rsidP="00386976" w14:paraId="05C89A86" w14:textId="40C1677F">
      <w:pPr>
        <w:pStyle w:val="BodyText"/>
        <w:spacing w:after="0"/>
        <w:rPr>
          <w:b/>
          <w:bCs/>
          <w:snapToGrid w:val="0"/>
        </w:rPr>
      </w:pPr>
      <w:r w:rsidRPr="00386976">
        <w:rPr>
          <w:b/>
          <w:bCs/>
          <w:snapToGrid w:val="0"/>
        </w:rPr>
        <w:t>[Address]</w:t>
      </w:r>
    </w:p>
    <w:p w:rsidR="00386976" w:rsidRPr="00267196" w:rsidP="00386976" w14:paraId="09C6AFE2" w14:textId="77777777">
      <w:pPr>
        <w:pStyle w:val="BodyText"/>
        <w:spacing w:after="0"/>
        <w:rPr>
          <w:i/>
        </w:rPr>
      </w:pPr>
    </w:p>
    <w:p w:rsidR="00386976" w:rsidRPr="00267196" w:rsidP="00386976" w14:paraId="7BDCBBE0" w14:textId="77777777">
      <w:pPr>
        <w:pStyle w:val="BodyText"/>
        <w:keepNext/>
      </w:pPr>
      <w:r w:rsidRPr="00267196">
        <w:t>Dear Sirs</w:t>
      </w:r>
      <w:r>
        <w:rPr>
          <w:rFonts w:hint="eastAsia"/>
          <w:lang w:eastAsia="zh-CN"/>
        </w:rPr>
        <w:t>/Madams</w:t>
      </w:r>
      <w:r w:rsidRPr="00267196">
        <w:t>,</w:t>
      </w:r>
    </w:p>
    <w:p w:rsidR="00386976" w:rsidRPr="00267196" w:rsidP="00386976" w14:paraId="5E207F3A" w14:textId="26947210">
      <w:pPr>
        <w:pStyle w:val="BodyText"/>
      </w:pPr>
      <w:r w:rsidRPr="00267196">
        <w:t xml:space="preserve">Reference is made to the international underwriting agreement dated </w:t>
      </w:r>
      <w:r w:rsidRPr="00386976">
        <w:rPr>
          <w:b/>
          <w:bCs/>
        </w:rPr>
        <w:t>[Date]</w:t>
      </w:r>
      <w:r>
        <w:t xml:space="preserve"> </w:t>
      </w:r>
      <w:r w:rsidRPr="00267196">
        <w:t xml:space="preserve">(the </w:t>
      </w:r>
      <w:r>
        <w:t>“</w:t>
      </w:r>
      <w:r w:rsidRPr="00267196">
        <w:rPr>
          <w:b/>
        </w:rPr>
        <w:t>International Underwriting Agreement</w:t>
      </w:r>
      <w:r>
        <w:t>”</w:t>
      </w:r>
      <w:r w:rsidRPr="00267196">
        <w:t xml:space="preserve">) </w:t>
      </w:r>
      <w:r>
        <w:t xml:space="preserve">among </w:t>
      </w:r>
      <w:r w:rsidRPr="00267196">
        <w:t xml:space="preserve">the Company, </w:t>
      </w:r>
      <w:r>
        <w:t>the</w:t>
      </w:r>
      <w:r w:rsidRPr="000848A7">
        <w:t xml:space="preserve"> Warranting Shareholders</w:t>
      </w:r>
      <w:r>
        <w:t xml:space="preserve">, </w:t>
      </w:r>
      <w:r w:rsidRPr="009316A0">
        <w:t>the several International Underwriters named therein,</w:t>
      </w:r>
      <w:r>
        <w:t xml:space="preserve"> </w:t>
      </w:r>
      <w:r w:rsidRPr="00267196">
        <w:t xml:space="preserve">in relation to the International Offering of </w:t>
      </w:r>
      <w:r>
        <w:rPr>
          <w:rFonts w:hint="eastAsia"/>
        </w:rPr>
        <w:t>Share</w:t>
      </w:r>
      <w:r w:rsidRPr="00267196">
        <w:t xml:space="preserve">s (the </w:t>
      </w:r>
      <w:r>
        <w:t>“</w:t>
      </w:r>
      <w:r w:rsidRPr="00267196">
        <w:rPr>
          <w:b/>
        </w:rPr>
        <w:t>Shares</w:t>
      </w:r>
      <w:r>
        <w:t>”</w:t>
      </w:r>
      <w:r w:rsidRPr="00267196">
        <w:t>) of the Company.</w:t>
      </w:r>
    </w:p>
    <w:p w:rsidR="00386976" w:rsidRPr="00267196" w:rsidP="00386976" w14:paraId="1FBDC1D8" w14:textId="77777777">
      <w:pPr>
        <w:pStyle w:val="BodyText"/>
      </w:pPr>
      <w:r w:rsidRPr="00267196">
        <w:t>Capitalized terms used and not otherwise defined herein shall have the meanings given to them in the International Underwriting Agreement.</w:t>
      </w:r>
    </w:p>
    <w:p w:rsidR="00386976" w:rsidRPr="00267196" w:rsidP="00386976" w14:paraId="4DC232EA" w14:textId="2F56BB0D">
      <w:pPr>
        <w:pStyle w:val="BodyText"/>
      </w:pPr>
      <w:r w:rsidRPr="00267196">
        <w:t xml:space="preserve">On behalf of the International Underwriters, we hereby give you notice of the exercise by the International Underwriters of their right, pursuant to </w:t>
      </w:r>
      <w:bookmarkStart w:id="308" w:name="DocXTextRef160"/>
      <w:r>
        <w:t>Section</w:t>
      </w:r>
      <w:r w:rsidRPr="00267196">
        <w:t xml:space="preserve"> </w:t>
      </w:r>
      <w:bookmarkEnd w:id="308"/>
      <w:r w:rsidRPr="00267196">
        <w:fldChar w:fldCharType="begin"/>
      </w:r>
      <w:r w:rsidRPr="00267196">
        <w:instrText xml:space="preserve"> REF _Ref517407793 \w \h </w:instrText>
      </w:r>
      <w:r w:rsidRPr="00267196">
        <w:fldChar w:fldCharType="separate"/>
      </w:r>
      <w:r>
        <w:t>1</w:t>
      </w:r>
      <w:r w:rsidRPr="00267196">
        <w:fldChar w:fldCharType="end"/>
      </w:r>
      <w:r w:rsidRPr="00267196">
        <w:t xml:space="preserve"> of the International Underwriting Agreement, to elect to purchase a further </w:t>
      </w:r>
      <w:r>
        <w:t>[ </w:t>
      </w:r>
      <w:r>
        <w:rPr>
          <w:rFonts w:ascii="Wingdings 2" w:hAnsi="Wingdings 2"/>
        </w:rPr>
        <w:sym w:font="Wingdings 2" w:char="F098"/>
      </w:r>
      <w:r>
        <w:t> ]</w:t>
      </w:r>
      <w:r w:rsidRPr="00267196">
        <w:t xml:space="preserve"> </w:t>
      </w:r>
      <w:r w:rsidRPr="0017143F">
        <w:t xml:space="preserve">Over-allotment </w:t>
      </w:r>
      <w:r w:rsidRPr="00267196">
        <w:t xml:space="preserve">Option Shares.  We hereby request that delivery of the </w:t>
      </w:r>
      <w:r w:rsidRPr="0017143F">
        <w:t xml:space="preserve">Over-allotment </w:t>
      </w:r>
      <w:r w:rsidRPr="00267196">
        <w:t xml:space="preserve">Option Shares take place on or around </w:t>
      </w:r>
      <w:r>
        <w:t>[ </w:t>
      </w:r>
      <w:r>
        <w:rPr>
          <w:rFonts w:ascii="Wingdings 2" w:hAnsi="Wingdings 2"/>
        </w:rPr>
        <w:sym w:font="Wingdings 2" w:char="F098"/>
      </w:r>
      <w:r>
        <w:t> ]</w:t>
      </w:r>
      <w:r w:rsidRPr="00267196">
        <w:t xml:space="preserve"> a.m. on </w:t>
      </w:r>
      <w:r w:rsidRPr="00386976">
        <w:rPr>
          <w:b/>
          <w:bCs/>
        </w:rPr>
        <w:t>[</w:t>
      </w:r>
      <w:r>
        <w:rPr>
          <w:b/>
          <w:bCs/>
        </w:rPr>
        <w:t>D</w:t>
      </w:r>
      <w:r w:rsidRPr="00386976">
        <w:rPr>
          <w:b/>
          <w:bCs/>
        </w:rPr>
        <w:t>ate]</w:t>
      </w:r>
      <w:r w:rsidRPr="00267196">
        <w:t>.</w:t>
      </w:r>
    </w:p>
    <w:p w:rsidR="00386976" w:rsidRPr="00267196" w:rsidP="00386976" w14:paraId="2E2824BC" w14:textId="77777777">
      <w:pPr>
        <w:pStyle w:val="BodyText"/>
      </w:pPr>
      <w:r w:rsidRPr="00267196">
        <w:t>This letter shall be governed by and construed in accordance with the Laws of the State of New York.</w:t>
      </w:r>
    </w:p>
    <w:p w:rsidR="00386976" w:rsidRPr="00267196" w:rsidP="00386976" w14:paraId="5515FF16" w14:textId="77777777">
      <w:pPr>
        <w:pStyle w:val="BodyText"/>
      </w:pPr>
      <w:r w:rsidRPr="00267196">
        <w:t>This letter may be executed in counterparts.  Each counterpart shall constitute an original of this letter but shall together constitute a single document.</w:t>
      </w:r>
    </w:p>
    <w:p w:rsidR="00386976" w:rsidRPr="00267196" w:rsidP="00386976" w14:paraId="47E7D113" w14:textId="77777777">
      <w:pPr>
        <w:pStyle w:val="BodyText"/>
      </w:pPr>
      <w:r w:rsidRPr="00267196">
        <w:t>We should be grateful if you would confirm your acceptance of the above by countersigning below.</w:t>
      </w:r>
    </w:p>
    <w:p w:rsidR="00386976" w:rsidRPr="00267196" w:rsidP="00386976" w14:paraId="234C96D4" w14:textId="77777777">
      <w:pPr>
        <w:pStyle w:val="BodyText"/>
        <w:keepNext/>
        <w:pageBreakBefore/>
      </w:pPr>
      <w:r w:rsidRPr="00267196">
        <w:t>Very truly yours,</w:t>
      </w:r>
    </w:p>
    <w:p w:rsidR="00D2314A" w:rsidP="00386976" w14:paraId="4EE8D86E" w14:textId="4C42FD16">
      <w:pPr>
        <w:pStyle w:val="BodyText0"/>
      </w:pPr>
      <w:r w:rsidRPr="00267196">
        <w:t>For and on behalf of the International Underwriters</w:t>
      </w:r>
    </w:p>
    <w:p w:rsidR="00386976" w:rsidRPr="00164AE9" w:rsidP="00386976" w14:paraId="772569C3" w14:textId="6386FC3E">
      <w:pPr>
        <w:widowControl w:val="0"/>
        <w:autoSpaceDE w:val="0"/>
        <w:autoSpaceDN w:val="0"/>
        <w:spacing w:before="1"/>
        <w:ind w:left="360" w:right="1196" w:hanging="360"/>
        <w:jc w:val="left"/>
        <w:rPr>
          <w:rFonts w:eastAsia="Times New Roman"/>
        </w:rPr>
      </w:pPr>
      <w:r>
        <w:rPr>
          <w:b/>
          <w:bCs/>
        </w:rPr>
        <w:t>[Joint Global Coordinator #1]</w:t>
      </w:r>
    </w:p>
    <w:p w:rsidR="00386976" w:rsidRPr="00164AE9" w:rsidP="00386976" w14:paraId="71575E44" w14:textId="77777777">
      <w:pPr>
        <w:widowControl w:val="0"/>
        <w:tabs>
          <w:tab w:val="left" w:pos="3262"/>
        </w:tabs>
        <w:autoSpaceDE w:val="0"/>
        <w:autoSpaceDN w:val="0"/>
        <w:spacing w:before="1"/>
        <w:ind w:left="460" w:right="3536" w:hanging="360"/>
        <w:jc w:val="left"/>
        <w:rPr>
          <w:rFonts w:eastAsia="Times New Roman"/>
        </w:rPr>
      </w:pPr>
    </w:p>
    <w:p w:rsidR="00386976" w:rsidRPr="00164AE9" w:rsidP="00386976" w14:paraId="3FC83D6E" w14:textId="77777777">
      <w:pPr>
        <w:widowControl w:val="0"/>
        <w:tabs>
          <w:tab w:val="left" w:pos="3262"/>
        </w:tabs>
        <w:autoSpaceDE w:val="0"/>
        <w:autoSpaceDN w:val="0"/>
        <w:spacing w:before="1"/>
        <w:ind w:left="460" w:right="6075" w:hanging="360"/>
        <w:jc w:val="left"/>
        <w:rPr>
          <w:rFonts w:eastAsiaTheme="minorEastAsia"/>
        </w:rPr>
      </w:pPr>
    </w:p>
    <w:p w:rsidR="00386976" w:rsidRPr="00164AE9" w:rsidP="00386976" w14:paraId="7FE97FFF" w14:textId="77777777">
      <w:pPr>
        <w:widowControl w:val="0"/>
        <w:tabs>
          <w:tab w:val="left" w:pos="3262"/>
        </w:tabs>
        <w:autoSpaceDE w:val="0"/>
        <w:autoSpaceDN w:val="0"/>
        <w:spacing w:before="1"/>
        <w:ind w:left="460" w:right="6075" w:hanging="360"/>
        <w:jc w:val="left"/>
        <w:rPr>
          <w:rFonts w:eastAsiaTheme="minorEastAsia"/>
        </w:rPr>
      </w:pPr>
    </w:p>
    <w:p w:rsidR="00386976" w:rsidP="00386976" w14:paraId="3BE04E13" w14:textId="77777777">
      <w:pPr>
        <w:widowControl w:val="0"/>
        <w:tabs>
          <w:tab w:val="left" w:pos="3262"/>
        </w:tabs>
        <w:autoSpaceDE w:val="0"/>
        <w:autoSpaceDN w:val="0"/>
        <w:spacing w:before="1"/>
        <w:ind w:left="460" w:right="6075" w:hanging="360"/>
        <w:jc w:val="left"/>
        <w:rPr>
          <w:rFonts w:eastAsiaTheme="minorEastAsia"/>
        </w:rPr>
      </w:pPr>
      <w:r>
        <w:rPr>
          <w:rFonts w:eastAsia="Times New Roman"/>
        </w:rPr>
        <w:t xml:space="preserve">By: </w:t>
      </w:r>
      <w:r w:rsidRPr="005F1231">
        <w:rPr>
          <w:rFonts w:eastAsia="Times New Roman"/>
          <w:u w:val="single"/>
        </w:rPr>
        <w:tab/>
      </w:r>
      <w:r w:rsidRPr="005F1231">
        <w:rPr>
          <w:rFonts w:eastAsia="Times New Roman"/>
        </w:rPr>
        <w:t xml:space="preserve"> </w:t>
      </w:r>
    </w:p>
    <w:p w:rsidR="00386976" w:rsidRPr="005F1231" w:rsidP="00386976" w14:paraId="2720133C" w14:textId="77777777">
      <w:pPr>
        <w:widowControl w:val="0"/>
        <w:tabs>
          <w:tab w:val="left" w:pos="3262"/>
        </w:tabs>
        <w:autoSpaceDE w:val="0"/>
        <w:autoSpaceDN w:val="0"/>
        <w:spacing w:before="1"/>
        <w:ind w:left="460" w:right="6075" w:hanging="10"/>
        <w:jc w:val="left"/>
        <w:rPr>
          <w:rFonts w:eastAsia="Times New Roman"/>
        </w:rPr>
      </w:pPr>
      <w:r w:rsidRPr="005F1231">
        <w:rPr>
          <w:rFonts w:eastAsia="Times New Roman"/>
        </w:rPr>
        <w:t>Name:</w:t>
      </w:r>
    </w:p>
    <w:p w:rsidR="00386976" w:rsidP="00386976" w14:paraId="148EA098" w14:textId="77777777">
      <w:pPr>
        <w:widowControl w:val="0"/>
        <w:autoSpaceDE w:val="0"/>
        <w:autoSpaceDN w:val="0"/>
        <w:ind w:left="460"/>
        <w:jc w:val="left"/>
        <w:rPr>
          <w:rFonts w:eastAsia="Times New Roman"/>
        </w:rPr>
      </w:pPr>
      <w:r w:rsidRPr="005F1231">
        <w:rPr>
          <w:rFonts w:eastAsia="Times New Roman"/>
        </w:rPr>
        <w:t>Title:</w:t>
      </w:r>
    </w:p>
    <w:p w:rsidR="00386976" w:rsidP="00386976" w14:paraId="3EB398BF" w14:textId="77777777">
      <w:pPr>
        <w:widowControl w:val="0"/>
        <w:autoSpaceDE w:val="0"/>
        <w:autoSpaceDN w:val="0"/>
        <w:ind w:left="460"/>
        <w:jc w:val="left"/>
        <w:rPr>
          <w:rFonts w:eastAsiaTheme="minorEastAsia"/>
          <w:lang w:eastAsia="zh-CN"/>
        </w:rPr>
      </w:pPr>
    </w:p>
    <w:p w:rsidR="00386976" w:rsidP="00386976" w14:paraId="0AF7B3B4" w14:textId="77777777">
      <w:pPr>
        <w:widowControl w:val="0"/>
        <w:autoSpaceDE w:val="0"/>
        <w:autoSpaceDN w:val="0"/>
        <w:ind w:left="460"/>
        <w:jc w:val="left"/>
        <w:rPr>
          <w:rFonts w:eastAsiaTheme="minorEastAsia"/>
          <w:lang w:eastAsia="zh-CN"/>
        </w:rPr>
      </w:pPr>
    </w:p>
    <w:p w:rsidR="00386976" w:rsidP="00386976" w14:paraId="5BB5AB79" w14:textId="77777777">
      <w:pPr>
        <w:widowControl w:val="0"/>
        <w:autoSpaceDE w:val="0"/>
        <w:autoSpaceDN w:val="0"/>
        <w:ind w:left="460"/>
        <w:jc w:val="left"/>
        <w:rPr>
          <w:rFonts w:eastAsiaTheme="minorEastAsia"/>
          <w:lang w:eastAsia="zh-CN"/>
        </w:rPr>
      </w:pPr>
    </w:p>
    <w:p w:rsidR="00386976" w:rsidP="00386976" w14:paraId="63802BCE" w14:textId="77777777">
      <w:pPr>
        <w:widowControl w:val="0"/>
        <w:autoSpaceDE w:val="0"/>
        <w:autoSpaceDN w:val="0"/>
        <w:ind w:left="460"/>
        <w:jc w:val="left"/>
        <w:rPr>
          <w:rFonts w:eastAsiaTheme="minorEastAsia"/>
          <w:lang w:eastAsia="zh-CN"/>
        </w:rPr>
      </w:pPr>
    </w:p>
    <w:p w:rsidR="00386976" w:rsidRPr="009E5A91" w:rsidP="00386976" w14:paraId="471D586D" w14:textId="313DEDC8">
      <w:pPr>
        <w:pStyle w:val="BodyText"/>
        <w:keepNext/>
        <w:spacing w:after="0"/>
        <w:rPr>
          <w:b/>
        </w:rPr>
      </w:pPr>
      <w:r>
        <w:rPr>
          <w:b/>
          <w:bCs/>
        </w:rPr>
        <w:t>[Joint Global Coordinator #2]</w:t>
      </w:r>
    </w:p>
    <w:p w:rsidR="00386976" w:rsidP="00386976" w14:paraId="4BD6183A" w14:textId="77777777">
      <w:pPr>
        <w:widowControl w:val="0"/>
        <w:tabs>
          <w:tab w:val="left" w:pos="3262"/>
        </w:tabs>
        <w:autoSpaceDE w:val="0"/>
        <w:autoSpaceDN w:val="0"/>
        <w:spacing w:before="1"/>
        <w:ind w:left="460" w:right="6075" w:hanging="360"/>
        <w:jc w:val="left"/>
        <w:rPr>
          <w:rFonts w:eastAsia="Times New Roman"/>
        </w:rPr>
      </w:pPr>
    </w:p>
    <w:p w:rsidR="00386976" w:rsidP="00386976" w14:paraId="6F6C3F9C" w14:textId="77777777">
      <w:pPr>
        <w:widowControl w:val="0"/>
        <w:tabs>
          <w:tab w:val="left" w:pos="3262"/>
        </w:tabs>
        <w:autoSpaceDE w:val="0"/>
        <w:autoSpaceDN w:val="0"/>
        <w:spacing w:before="1"/>
        <w:ind w:left="460" w:right="6075" w:hanging="360"/>
        <w:jc w:val="left"/>
        <w:rPr>
          <w:rFonts w:eastAsia="Times New Roman"/>
        </w:rPr>
      </w:pPr>
    </w:p>
    <w:p w:rsidR="00386976" w:rsidP="00386976" w14:paraId="26D13C02" w14:textId="77777777">
      <w:pPr>
        <w:widowControl w:val="0"/>
        <w:tabs>
          <w:tab w:val="left" w:pos="3262"/>
        </w:tabs>
        <w:autoSpaceDE w:val="0"/>
        <w:autoSpaceDN w:val="0"/>
        <w:spacing w:before="1"/>
        <w:ind w:left="460" w:right="6075" w:hanging="360"/>
        <w:jc w:val="left"/>
        <w:rPr>
          <w:rFonts w:eastAsia="Times New Roman"/>
        </w:rPr>
      </w:pPr>
    </w:p>
    <w:p w:rsidR="00386976" w:rsidP="00386976" w14:paraId="43F7E7C7" w14:textId="77777777">
      <w:pPr>
        <w:widowControl w:val="0"/>
        <w:tabs>
          <w:tab w:val="left" w:pos="3262"/>
        </w:tabs>
        <w:autoSpaceDE w:val="0"/>
        <w:autoSpaceDN w:val="0"/>
        <w:spacing w:before="1"/>
        <w:ind w:left="460" w:right="6075" w:hanging="360"/>
        <w:jc w:val="left"/>
        <w:rPr>
          <w:rFonts w:eastAsiaTheme="minorEastAsia"/>
        </w:rPr>
      </w:pPr>
      <w:r>
        <w:rPr>
          <w:rFonts w:eastAsia="Times New Roman"/>
        </w:rPr>
        <w:t xml:space="preserve">By: </w:t>
      </w:r>
      <w:r w:rsidRPr="005F1231">
        <w:rPr>
          <w:rFonts w:eastAsia="Times New Roman"/>
          <w:u w:val="single"/>
        </w:rPr>
        <w:tab/>
      </w:r>
      <w:r w:rsidRPr="005F1231">
        <w:rPr>
          <w:rFonts w:eastAsia="Times New Roman"/>
        </w:rPr>
        <w:t xml:space="preserve"> </w:t>
      </w:r>
    </w:p>
    <w:p w:rsidR="00386976" w:rsidRPr="005F1231" w:rsidP="00386976" w14:paraId="188388F9" w14:textId="77777777">
      <w:pPr>
        <w:widowControl w:val="0"/>
        <w:tabs>
          <w:tab w:val="left" w:pos="3262"/>
        </w:tabs>
        <w:autoSpaceDE w:val="0"/>
        <w:autoSpaceDN w:val="0"/>
        <w:spacing w:before="1"/>
        <w:ind w:left="460" w:right="6075" w:hanging="10"/>
        <w:jc w:val="left"/>
        <w:rPr>
          <w:rFonts w:eastAsia="Times New Roman"/>
        </w:rPr>
      </w:pPr>
      <w:r w:rsidRPr="005F1231">
        <w:rPr>
          <w:rFonts w:eastAsia="Times New Roman"/>
        </w:rPr>
        <w:t>Name:</w:t>
      </w:r>
    </w:p>
    <w:p w:rsidR="00386976" w:rsidP="00386976" w14:paraId="092A7D78" w14:textId="77777777">
      <w:pPr>
        <w:widowControl w:val="0"/>
        <w:autoSpaceDE w:val="0"/>
        <w:autoSpaceDN w:val="0"/>
        <w:ind w:left="460"/>
        <w:jc w:val="left"/>
        <w:rPr>
          <w:rFonts w:eastAsiaTheme="minorEastAsia"/>
          <w:lang w:eastAsia="zh-CN"/>
        </w:rPr>
      </w:pPr>
      <w:r w:rsidRPr="005F1231">
        <w:rPr>
          <w:rFonts w:eastAsia="Times New Roman"/>
        </w:rPr>
        <w:t>Title:</w:t>
      </w:r>
    </w:p>
    <w:p w:rsidR="00386976" w:rsidP="00386976" w14:paraId="3E1C233C" w14:textId="77777777">
      <w:pPr>
        <w:widowControl w:val="0"/>
        <w:autoSpaceDE w:val="0"/>
        <w:autoSpaceDN w:val="0"/>
        <w:jc w:val="left"/>
        <w:rPr>
          <w:rFonts w:eastAsiaTheme="minorEastAsia"/>
          <w:lang w:eastAsia="zh-CN"/>
        </w:rPr>
      </w:pPr>
    </w:p>
    <w:p w:rsidR="00386976" w:rsidP="00386976" w14:paraId="588088F1" w14:textId="77777777">
      <w:pPr>
        <w:widowControl w:val="0"/>
        <w:autoSpaceDE w:val="0"/>
        <w:autoSpaceDN w:val="0"/>
        <w:jc w:val="left"/>
        <w:rPr>
          <w:rFonts w:eastAsiaTheme="minorEastAsia"/>
          <w:lang w:eastAsia="zh-CN"/>
        </w:rPr>
      </w:pPr>
    </w:p>
    <w:p w:rsidR="00386976" w:rsidP="00386976" w14:paraId="56125EB7" w14:textId="77777777">
      <w:pPr>
        <w:widowControl w:val="0"/>
        <w:autoSpaceDE w:val="0"/>
        <w:autoSpaceDN w:val="0"/>
        <w:jc w:val="left"/>
        <w:rPr>
          <w:rFonts w:eastAsiaTheme="minorEastAsia"/>
          <w:lang w:eastAsia="zh-CN"/>
        </w:rPr>
      </w:pPr>
    </w:p>
    <w:p w:rsidR="00386976" w:rsidP="00386976" w14:paraId="19C8722B" w14:textId="77777777">
      <w:pPr>
        <w:widowControl w:val="0"/>
        <w:autoSpaceDE w:val="0"/>
        <w:autoSpaceDN w:val="0"/>
        <w:jc w:val="left"/>
        <w:rPr>
          <w:rFonts w:eastAsiaTheme="minorEastAsia"/>
          <w:lang w:eastAsia="zh-CN"/>
        </w:rPr>
      </w:pPr>
    </w:p>
    <w:p w:rsidR="00386976" w:rsidRPr="009E5A91" w:rsidP="00386976" w14:paraId="39D08D60" w14:textId="62DD5B9F">
      <w:pPr>
        <w:pStyle w:val="BodyText"/>
        <w:keepNext/>
        <w:spacing w:after="0"/>
        <w:rPr>
          <w:b/>
        </w:rPr>
      </w:pPr>
      <w:r>
        <w:rPr>
          <w:b/>
          <w:bCs/>
        </w:rPr>
        <w:t>[Joint Global Coordinator #3]</w:t>
      </w:r>
    </w:p>
    <w:p w:rsidR="00386976" w:rsidP="00386976" w14:paraId="10CC66BB" w14:textId="77777777">
      <w:pPr>
        <w:widowControl w:val="0"/>
        <w:tabs>
          <w:tab w:val="left" w:pos="3262"/>
        </w:tabs>
        <w:autoSpaceDE w:val="0"/>
        <w:autoSpaceDN w:val="0"/>
        <w:spacing w:before="1"/>
        <w:ind w:left="460" w:right="6075" w:hanging="360"/>
        <w:jc w:val="left"/>
        <w:rPr>
          <w:rFonts w:eastAsia="Times New Roman"/>
        </w:rPr>
      </w:pPr>
    </w:p>
    <w:p w:rsidR="00386976" w:rsidP="00386976" w14:paraId="0C8DD905" w14:textId="77777777">
      <w:pPr>
        <w:widowControl w:val="0"/>
        <w:tabs>
          <w:tab w:val="left" w:pos="3262"/>
        </w:tabs>
        <w:autoSpaceDE w:val="0"/>
        <w:autoSpaceDN w:val="0"/>
        <w:spacing w:before="1"/>
        <w:ind w:left="460" w:right="6075" w:hanging="360"/>
        <w:jc w:val="left"/>
        <w:rPr>
          <w:rFonts w:eastAsia="Times New Roman"/>
        </w:rPr>
      </w:pPr>
    </w:p>
    <w:p w:rsidR="00386976" w:rsidP="00386976" w14:paraId="38CB5A6D" w14:textId="77777777">
      <w:pPr>
        <w:widowControl w:val="0"/>
        <w:tabs>
          <w:tab w:val="left" w:pos="3262"/>
        </w:tabs>
        <w:autoSpaceDE w:val="0"/>
        <w:autoSpaceDN w:val="0"/>
        <w:spacing w:before="1"/>
        <w:ind w:left="460" w:right="6075" w:hanging="360"/>
        <w:jc w:val="left"/>
        <w:rPr>
          <w:rFonts w:eastAsia="Times New Roman"/>
        </w:rPr>
      </w:pPr>
    </w:p>
    <w:p w:rsidR="00386976" w:rsidP="00386976" w14:paraId="6C58D79E" w14:textId="77777777">
      <w:pPr>
        <w:widowControl w:val="0"/>
        <w:tabs>
          <w:tab w:val="left" w:pos="3262"/>
        </w:tabs>
        <w:autoSpaceDE w:val="0"/>
        <w:autoSpaceDN w:val="0"/>
        <w:spacing w:before="1"/>
        <w:ind w:left="460" w:right="6075" w:hanging="360"/>
        <w:jc w:val="left"/>
        <w:rPr>
          <w:rFonts w:eastAsiaTheme="minorEastAsia"/>
        </w:rPr>
      </w:pPr>
      <w:r>
        <w:rPr>
          <w:rFonts w:eastAsia="Times New Roman"/>
        </w:rPr>
        <w:t xml:space="preserve">By: </w:t>
      </w:r>
      <w:r w:rsidRPr="005F1231">
        <w:rPr>
          <w:rFonts w:eastAsia="Times New Roman"/>
          <w:u w:val="single"/>
        </w:rPr>
        <w:tab/>
      </w:r>
      <w:r w:rsidRPr="005F1231">
        <w:rPr>
          <w:rFonts w:eastAsia="Times New Roman"/>
        </w:rPr>
        <w:t xml:space="preserve"> </w:t>
      </w:r>
    </w:p>
    <w:p w:rsidR="00386976" w:rsidRPr="005F1231" w:rsidP="00386976" w14:paraId="2754C84E" w14:textId="77777777">
      <w:pPr>
        <w:widowControl w:val="0"/>
        <w:tabs>
          <w:tab w:val="left" w:pos="3262"/>
        </w:tabs>
        <w:autoSpaceDE w:val="0"/>
        <w:autoSpaceDN w:val="0"/>
        <w:spacing w:before="1"/>
        <w:ind w:left="460" w:right="6075" w:hanging="10"/>
        <w:jc w:val="left"/>
        <w:rPr>
          <w:rFonts w:eastAsia="Times New Roman"/>
        </w:rPr>
      </w:pPr>
      <w:r w:rsidRPr="005F1231">
        <w:rPr>
          <w:rFonts w:eastAsia="Times New Roman"/>
        </w:rPr>
        <w:t>Name:</w:t>
      </w:r>
    </w:p>
    <w:p w:rsidR="00386976" w:rsidP="00386976" w14:paraId="7A950E35" w14:textId="77777777">
      <w:pPr>
        <w:widowControl w:val="0"/>
        <w:autoSpaceDE w:val="0"/>
        <w:autoSpaceDN w:val="0"/>
        <w:ind w:left="460"/>
        <w:jc w:val="left"/>
        <w:rPr>
          <w:rFonts w:eastAsiaTheme="minorEastAsia"/>
          <w:lang w:eastAsia="zh-CN"/>
        </w:rPr>
      </w:pPr>
      <w:r w:rsidRPr="005F1231">
        <w:rPr>
          <w:rFonts w:eastAsia="Times New Roman"/>
        </w:rPr>
        <w:t>Title:</w:t>
      </w:r>
    </w:p>
    <w:p w:rsidR="00DF5552" w:rsidRPr="005F1231" w:rsidP="00DF5552" w14:paraId="5D5C7964" w14:textId="77777777">
      <w:pPr>
        <w:widowControl w:val="0"/>
        <w:autoSpaceDE w:val="0"/>
        <w:autoSpaceDN w:val="0"/>
        <w:spacing w:before="72"/>
        <w:rPr>
          <w:rFonts w:eastAsia="Times New Roman"/>
        </w:rPr>
      </w:pPr>
      <w:r>
        <w:rPr>
          <w:snapToGrid w:val="0"/>
        </w:rPr>
        <w:br w:type="page"/>
      </w:r>
      <w:r w:rsidRPr="005F1231">
        <w:rPr>
          <w:rFonts w:eastAsia="Times New Roman"/>
        </w:rPr>
        <w:t>For good and valuable consideration, we hereby confirm our acceptance and acknowledgement of the terms set out herein:</w:t>
      </w:r>
    </w:p>
    <w:p w:rsidR="00386976" w:rsidP="00386976" w14:paraId="1067BF5F" w14:textId="3FA9D702">
      <w:pPr>
        <w:pStyle w:val="BodyText0"/>
        <w:rPr>
          <w:snapToGrid w:val="0"/>
        </w:rPr>
      </w:pPr>
    </w:p>
    <w:p w:rsidR="00DF5552" w:rsidP="00386976" w14:paraId="3C73C495" w14:textId="34981269">
      <w:pPr>
        <w:pStyle w:val="BodyText0"/>
        <w:rPr>
          <w:b/>
          <w:bCs/>
          <w:snapToGrid w:val="0"/>
        </w:rPr>
      </w:pPr>
      <w:r w:rsidRPr="00DF5552">
        <w:rPr>
          <w:b/>
          <w:bCs/>
          <w:snapToGrid w:val="0"/>
        </w:rPr>
        <w:t>[Company Name]</w:t>
      </w:r>
    </w:p>
    <w:p w:rsidR="00DF5552" w:rsidP="00DF5552" w14:paraId="70482C2A" w14:textId="77777777">
      <w:pPr>
        <w:widowControl w:val="0"/>
        <w:tabs>
          <w:tab w:val="left" w:pos="3262"/>
        </w:tabs>
        <w:autoSpaceDE w:val="0"/>
        <w:autoSpaceDN w:val="0"/>
        <w:spacing w:before="1"/>
        <w:ind w:left="460" w:right="6075" w:hanging="360"/>
        <w:jc w:val="left"/>
        <w:rPr>
          <w:rFonts w:eastAsiaTheme="minorEastAsia"/>
        </w:rPr>
      </w:pPr>
      <w:r>
        <w:rPr>
          <w:rFonts w:eastAsia="Times New Roman"/>
        </w:rPr>
        <w:t xml:space="preserve">By: </w:t>
      </w:r>
      <w:r w:rsidRPr="005F1231">
        <w:rPr>
          <w:rFonts w:eastAsia="Times New Roman"/>
          <w:u w:val="single"/>
        </w:rPr>
        <w:tab/>
      </w:r>
      <w:r w:rsidRPr="005F1231">
        <w:rPr>
          <w:rFonts w:eastAsia="Times New Roman"/>
        </w:rPr>
        <w:t xml:space="preserve"> </w:t>
      </w:r>
    </w:p>
    <w:p w:rsidR="00DF5552" w:rsidRPr="005F1231" w:rsidP="00DF5552" w14:paraId="1BD3479D" w14:textId="77777777">
      <w:pPr>
        <w:widowControl w:val="0"/>
        <w:tabs>
          <w:tab w:val="left" w:pos="3262"/>
        </w:tabs>
        <w:autoSpaceDE w:val="0"/>
        <w:autoSpaceDN w:val="0"/>
        <w:spacing w:before="1"/>
        <w:ind w:left="460" w:right="6075" w:hanging="10"/>
        <w:jc w:val="left"/>
        <w:rPr>
          <w:rFonts w:eastAsia="Times New Roman"/>
        </w:rPr>
      </w:pPr>
      <w:r w:rsidRPr="005F1231">
        <w:rPr>
          <w:rFonts w:eastAsia="Times New Roman"/>
        </w:rPr>
        <w:t>Name:</w:t>
      </w:r>
    </w:p>
    <w:p w:rsidR="00DF5552" w:rsidRPr="005F1231" w:rsidP="00DF5552" w14:paraId="136F0B5C" w14:textId="77777777">
      <w:pPr>
        <w:widowControl w:val="0"/>
        <w:autoSpaceDE w:val="0"/>
        <w:autoSpaceDN w:val="0"/>
        <w:ind w:left="460"/>
        <w:jc w:val="left"/>
        <w:rPr>
          <w:rFonts w:eastAsia="Times New Roman"/>
        </w:rPr>
      </w:pPr>
      <w:r w:rsidRPr="005F1231">
        <w:rPr>
          <w:rFonts w:eastAsia="Times New Roman"/>
        </w:rPr>
        <w:t>Title:</w:t>
      </w:r>
    </w:p>
    <w:p w:rsidR="00DF5552" w:rsidRPr="00DF5552" w:rsidP="00386976" w14:paraId="1EDBC603" w14:textId="77777777">
      <w:pPr>
        <w:pStyle w:val="BodyText0"/>
        <w:rPr>
          <w:b/>
          <w:bCs/>
          <w:snapToGrid w:val="0"/>
        </w:rPr>
      </w:pPr>
    </w:p>
    <w:sectPr w:rsidSect="00576FAE">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8"/>
    </wne:keymap>
    <wne:keymap wne:kcmPrimary="0632">
      <wne:acd wne:acdName="acd19"/>
    </wne:keymap>
    <wne:keymap wne:kcmPrimary="0633">
      <wne:acd wne:acdName="acd20"/>
    </wne:keymap>
    <wne:keymap wne:kcmPrimary="0634">
      <wne:acd wne:acdName="acd21"/>
    </wne:keymap>
    <wne:keymap wne:kcmPrimary="0635">
      <wne:acd wne:acdName="acd22"/>
    </wne:keymap>
    <wne:keymap wne:kcmPrimary="0636">
      <wne:acd wne:acdName="acd23"/>
    </wne:keymap>
    <wne:keymap wne:kcmPrimary="0637">
      <wne:acd wne:acdName="acd24"/>
    </wne:keymap>
    <wne:keymap wne:kcmPrimary="0638">
      <wne:acd wne:acdName="acd25"/>
    </wne:keymap>
    <wne:keymap wne:kcmPrimary="0639">
      <wne:acd wne:acdName="acd2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rgValue="AgBTAGMAaABlAGQAdQBsAGUAIAAxACAATAA5AA==&#10;" wne:acdName="acd0" wne:fciIndexBasedOn="0065"/>
    <wne:acd wne:argValue="AgBTAGMAaABlAGQAdQBsAGUAIAAxACAATAA5AA==&#10;" wne:acdName="acd1" wne:fciIndexBasedOn="0065"/>
    <wne:acd wne:argValue="AgBTAGMAaABlAGQAdQBsAGUAIAAxACAATAA5AA==&#10;" wne:acdName="acd2" wne:fciIndexBasedOn="0065"/>
    <wne:acd wne:argValue="AgBTAGMAaABlAGQAdQBsAGUAIAAxACAATAA5AA==&#10;" wne:acdName="acd3" wne:fciIndexBasedOn="0065"/>
    <wne:acd wne:argValue="AgBTAGMAaABlAGQAdQBsAGUAIAAxACAATAA5AA==&#10;" wne:acdName="acd4" wne:fciIndexBasedOn="0065"/>
    <wne:acd wne:argValue="AgBTAGMAaABlAGQAdQBsAGUAIAAxACAATAA5AA==&#10;" wne:acdName="acd5" wne:fciIndexBasedOn="0065"/>
    <wne:acd wne:argValue="AgBTAGMAaABlAGQAdQBsAGUAIAAxACAATAA5AA==&#10;" wne:acdName="acd6" wne:fciIndexBasedOn="0065"/>
    <wne:acd wne:argValue="AgBTAGMAaABlAGQAdQBsAGUAIAAxACAATAA5AA==&#10;" wne:acdName="acd7" wne:fciIndexBasedOn="0065"/>
    <wne:acd wne:argValue="AgBTAGMAaABlAGQAdQBsAGUAIAAxACAATAA5AA==&#10;" wne:acdName="acd8" wne:fciIndexBasedOn="0065"/>
    <wne:acd wne:argValue="AgBTAGMAaABlAGQAdQBsAGUAIAAxACAATAA5AA==&#10;" wne:acdName="acd9" wne:fciIndexBasedOn="0065"/>
    <wne:acd wne:argValue="AgBTAGMAaABlAGQAdQBsAGUAIAAxACAATAA5AA==&#10;" wne:acdName="acd10" wne:fciIndexBasedOn="0065"/>
    <wne:acd wne:argValue="AgBTAGMAaABlAGQAdQBsAGUAIAAxACAATAA5AA==&#10;" wne:acdName="acd11" wne:fciIndexBasedOn="0065"/>
    <wne:acd wne:argValue="AgBTAGMAaABlAGQAdQBsAGUAIAAxACAATAA5AA==&#10;" wne:acdName="acd12" wne:fciIndexBasedOn="0065"/>
    <wne:acd wne:argValue="AgBTAGMAaABlAGQAdQBsAGUAIAAxACAATAA5AA==&#10;" wne:acdName="acd13" wne:fciIndexBasedOn="0065"/>
    <wne:acd wne:argValue="AgBTAGMAaABlAGQAdQBsAGUAIAAxACAATAA5AA==&#10;" wne:acdName="acd14" wne:fciIndexBasedOn="0065"/>
    <wne:acd wne:argValue="AgBTAGMAaABlAGQAdQBsAGUAIAAxACAATAA5AA==&#10;" wne:acdName="acd15" wne:fciIndexBasedOn="0065"/>
    <wne:acd wne:argValue="AgBTAGMAaABlAGQAdQBsAGUAIAAxACAATAA5AA==&#10;" wne:acdName="acd16" wne:fciIndexBasedOn="0065"/>
    <wne:acd wne:argValue="AgBTAGMAaABlAGQAdQBsAGUAIAAxACAATAA5AA==&#10;" wne:acdName="acd17" wne:fciIndexBasedOn="0065"/>
    <wne:acd wne:argValue="AgBTAGMAaABlAGQAdQBsAGUAIAAxACAATAAxAA==&#10;" wne:acdName="acd18" wne:fciIndexBasedOn="0065"/>
    <wne:acd wne:argValue="AgBTAGMAaABlAGQAdQBsAGUAIAAxACAATAAyAA==&#10;" wne:acdName="acd19" wne:fciIndexBasedOn="0065"/>
    <wne:acd wne:argValue="AgBTAGMAaABlAGQAdQBsAGUAIAAxACAATAAzAA==&#10;" wne:acdName="acd20" wne:fciIndexBasedOn="0065"/>
    <wne:acd wne:argValue="AgBTAGMAaABlAGQAdQBsAGUAIAAxACAATAA0AA==&#10;" wne:acdName="acd21" wne:fciIndexBasedOn="0065"/>
    <wne:acd wne:argValue="AgBTAGMAaABlAGQAdQBsAGUAIAAxACAATAA1AA==&#10;" wne:acdName="acd22" wne:fciIndexBasedOn="0065"/>
    <wne:acd wne:argValue="AgBTAGMAaABlAGQAdQBsAGUAIAAxACAATAA2AA==&#10;" wne:acdName="acd23" wne:fciIndexBasedOn="0065"/>
    <wne:acd wne:argValue="AgBTAGMAaABlAGQAdQBsAGUAIAAxACAATAA3AA==&#10;" wne:acdName="acd24" wne:fciIndexBasedOn="0065"/>
    <wne:acd wne:argValue="AgBTAGMAaABlAGQAdQBsAGUAIAAxACAATAA4AA==&#10;" wne:acdName="acd25" wne:fciIndexBasedOn="0065"/>
    <wne:acd wne:argValue="AgBTAGMAaABlAGQAdQBsAGUAIAAxACAATAA5AA==&#10;" wne:acdName="acd26"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9" w:usb3="00000000" w:csb0="4000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old">
    <w:panose1 w:val="020B0704020202020204"/>
    <w:charset w:val="00"/>
    <w:family w:val="roman"/>
    <w:pitch w:val="default"/>
    <w:sig w:usb0="E0000AFF" w:usb1="00007843" w:usb2="00000001" w:usb3="00000000" w:csb0="400001BF" w:csb1="DFF7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8C6" w14:paraId="6378A0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368" w:rsidP="003C6CDA" w14:paraId="29E6B9BC" w14:textId="77777777">
    <w:pPr>
      <w:pStyle w:val="Footer"/>
      <w:jc w:val="cente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2E0A05" w:rsidP="00574368" w14:paraId="36048CF7" w14:textId="77777777">
    <w:pPr>
      <w:pStyle w:val="Footer"/>
      <w:rPr>
        <w:noProo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A05" w:rsidP="003C6CDA" w14:paraId="233421EB" w14:textId="77777777">
    <w:pPr>
      <w:pStyle w:val="Footer"/>
      <w:jc w:val="cente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5E45" w14:paraId="2E917FBB" w14:textId="77777777">
      <w:r>
        <w:separator/>
      </w:r>
    </w:p>
  </w:footnote>
  <w:footnote w:type="continuationSeparator" w:id="1">
    <w:p w:rsidR="008B5E45" w14:paraId="466DB3FB" w14:textId="77777777">
      <w:r>
        <w:continuationSeparator/>
      </w:r>
    </w:p>
  </w:footnote>
  <w:footnote w:id="2">
    <w:p w:rsidR="001A02C5" w:rsidRPr="00E406F4" w:rsidP="001A02C5" w14:paraId="083C7346" w14:textId="2758B650">
      <w:pPr>
        <w:pStyle w:val="FootnoteText"/>
        <w:rPr>
          <w:b/>
          <w:bCs/>
          <w:szCs w:val="18"/>
        </w:rPr>
      </w:pPr>
      <w:r w:rsidRPr="00E406F4">
        <w:rPr>
          <w:rStyle w:val="FootnoteReference"/>
          <w:b/>
          <w:bCs/>
          <w:szCs w:val="18"/>
        </w:rPr>
        <w:footnoteRef/>
      </w:r>
      <w:r w:rsidRPr="00E406F4">
        <w:rPr>
          <w:b/>
          <w:bCs/>
          <w:szCs w:val="18"/>
        </w:rPr>
        <w:t xml:space="preserve"> This </w:t>
      </w:r>
      <w:r w:rsidR="00A2552E">
        <w:rPr>
          <w:b/>
          <w:bCs/>
          <w:szCs w:val="18"/>
        </w:rPr>
        <w:t>form is prepared on the basis</w:t>
      </w:r>
      <w:r w:rsidRPr="00E406F4">
        <w:rPr>
          <w:b/>
          <w:bCs/>
          <w:szCs w:val="18"/>
        </w:rPr>
        <w:t xml:space="preserve"> that there is more than one sponsor entity</w:t>
      </w:r>
      <w:r w:rsidR="00733CCE">
        <w:rPr>
          <w:b/>
          <w:bCs/>
          <w:szCs w:val="18"/>
        </w:rPr>
        <w:t xml:space="preserve"> and that all JGCs are OCs</w:t>
      </w:r>
      <w:r w:rsidRPr="00E406F4">
        <w:rPr>
          <w:b/>
          <w:bCs/>
          <w:szCs w:val="18"/>
        </w:rPr>
        <w:t>.</w:t>
      </w:r>
    </w:p>
  </w:footnote>
  <w:footnote w:id="3">
    <w:p w:rsidR="00782972" w:rsidRPr="001D7E54" w:rsidP="00782972" w14:paraId="2C7F0110" w14:textId="45B1C9AF">
      <w:pPr>
        <w:pStyle w:val="FootnoteText"/>
        <w:rPr>
          <w:rFonts w:eastAsia="PMingLiU"/>
          <w:b/>
          <w:bCs/>
          <w:szCs w:val="18"/>
          <w:lang w:eastAsia="zh-TW"/>
        </w:rPr>
      </w:pPr>
      <w:r w:rsidRPr="001D7E54">
        <w:rPr>
          <w:rStyle w:val="FootnoteReference"/>
          <w:b/>
          <w:bCs/>
          <w:szCs w:val="18"/>
        </w:rPr>
        <w:footnoteRef/>
      </w:r>
      <w:r w:rsidRPr="001D7E54">
        <w:rPr>
          <w:b/>
          <w:bCs/>
          <w:szCs w:val="18"/>
        </w:rPr>
        <w:t xml:space="preserve"> This </w:t>
      </w:r>
      <w:r w:rsidR="00A2552E">
        <w:rPr>
          <w:b/>
          <w:bCs/>
          <w:szCs w:val="18"/>
        </w:rPr>
        <w:t xml:space="preserve">form </w:t>
      </w:r>
      <w:r w:rsidRPr="001D7E54">
        <w:rPr>
          <w:b/>
          <w:bCs/>
          <w:szCs w:val="18"/>
        </w:rPr>
        <w:t xml:space="preserve">is </w:t>
      </w:r>
      <w:r w:rsidR="00A2552E">
        <w:rPr>
          <w:b/>
          <w:bCs/>
          <w:szCs w:val="18"/>
        </w:rPr>
        <w:t xml:space="preserve">prepared on the basis </w:t>
      </w:r>
      <w:r w:rsidRPr="001D7E54">
        <w:rPr>
          <w:b/>
          <w:bCs/>
          <w:szCs w:val="18"/>
        </w:rPr>
        <w:t>that the listing applicant is a Cayman</w:t>
      </w:r>
      <w:r w:rsidR="00540028">
        <w:rPr>
          <w:b/>
          <w:bCs/>
          <w:szCs w:val="18"/>
        </w:rPr>
        <w:t xml:space="preserve"> Islands</w:t>
      </w:r>
      <w:r w:rsidRPr="001D7E54">
        <w:rPr>
          <w:b/>
          <w:bCs/>
          <w:szCs w:val="18"/>
        </w:rPr>
        <w:t xml:space="preserve"> incorporated company. </w:t>
      </w:r>
    </w:p>
  </w:footnote>
  <w:footnote w:id="4">
    <w:p w:rsidR="00CF19D6" w:rsidRPr="001D7E54" w:rsidP="00CF19D6" w14:paraId="000D67E3" w14:textId="4961AB67">
      <w:pPr>
        <w:pStyle w:val="FootnoteText"/>
        <w:rPr>
          <w:b/>
          <w:bCs/>
        </w:rPr>
      </w:pPr>
      <w:r w:rsidRPr="001D7E54">
        <w:rPr>
          <w:rStyle w:val="FootnoteReference"/>
          <w:b/>
          <w:bCs/>
          <w:szCs w:val="18"/>
        </w:rPr>
        <w:footnoteRef/>
      </w:r>
      <w:r w:rsidRPr="001D7E54">
        <w:rPr>
          <w:b/>
          <w:bCs/>
        </w:rPr>
        <w:t xml:space="preserve"> </w:t>
      </w:r>
      <w:r w:rsidRPr="001D7E54">
        <w:rPr>
          <w:b/>
          <w:bCs/>
          <w:szCs w:val="16"/>
        </w:rPr>
        <w:t xml:space="preserve">This </w:t>
      </w:r>
      <w:r w:rsidR="00A2552E">
        <w:rPr>
          <w:b/>
          <w:bCs/>
          <w:szCs w:val="16"/>
        </w:rPr>
        <w:t>form</w:t>
      </w:r>
      <w:r w:rsidRPr="001D7E54">
        <w:rPr>
          <w:b/>
          <w:bCs/>
          <w:szCs w:val="16"/>
        </w:rPr>
        <w:t xml:space="preserve"> is </w:t>
      </w:r>
      <w:r w:rsidR="00A2552E">
        <w:rPr>
          <w:b/>
          <w:bCs/>
          <w:szCs w:val="18"/>
        </w:rPr>
        <w:t xml:space="preserve">prepared </w:t>
      </w:r>
      <w:r w:rsidR="00A2552E">
        <w:rPr>
          <w:b/>
          <w:bCs/>
          <w:szCs w:val="16"/>
        </w:rPr>
        <w:t xml:space="preserve">on the basis </w:t>
      </w:r>
      <w:r w:rsidRPr="001D7E54">
        <w:rPr>
          <w:b/>
          <w:bCs/>
          <w:szCs w:val="16"/>
        </w:rPr>
        <w:t>that there is only one class of shares.  For companies with different classes of shares, please make drafting adjustments for descriptions of any conversion, as applicable</w:t>
      </w:r>
      <w:r w:rsidRPr="001D7E54">
        <w:rPr>
          <w:b/>
          <w:bCs/>
        </w:rPr>
        <w:t xml:space="preserve">. </w:t>
      </w:r>
    </w:p>
  </w:footnote>
  <w:footnote w:id="5">
    <w:p w:rsidR="00CF19D6" w:rsidRPr="00E01C4D" w:rsidP="00CF19D6" w14:paraId="56EEA176" w14:textId="473DCE17">
      <w:pPr>
        <w:pStyle w:val="FootnoteText"/>
        <w:rPr>
          <w:i/>
          <w:iCs/>
          <w:szCs w:val="18"/>
        </w:rPr>
      </w:pPr>
      <w:r w:rsidRPr="001D7E54">
        <w:rPr>
          <w:rStyle w:val="FootnoteReference"/>
          <w:b/>
          <w:bCs/>
          <w:szCs w:val="18"/>
        </w:rPr>
        <w:footnoteRef/>
      </w:r>
      <w:r w:rsidRPr="001D7E54">
        <w:rPr>
          <w:b/>
          <w:bCs/>
          <w:szCs w:val="18"/>
        </w:rPr>
        <w:t xml:space="preserve"> This </w:t>
      </w:r>
      <w:r w:rsidR="00A2552E">
        <w:rPr>
          <w:b/>
          <w:bCs/>
          <w:szCs w:val="18"/>
        </w:rPr>
        <w:t xml:space="preserve">form is prepared on the basis </w:t>
      </w:r>
      <w:r w:rsidRPr="001D7E54">
        <w:rPr>
          <w:b/>
          <w:bCs/>
          <w:szCs w:val="18"/>
        </w:rPr>
        <w:t>that there will be stock borrowing arrangement, which is an arrangement not applicable to listing applicants incorporated in the PRC.</w:t>
      </w:r>
      <w:r w:rsidRPr="00E01C4D">
        <w:rPr>
          <w:i/>
          <w:iCs/>
          <w:szCs w:val="18"/>
        </w:rPr>
        <w:t xml:space="preserve"> </w:t>
      </w:r>
    </w:p>
  </w:footnote>
  <w:footnote w:id="6">
    <w:p w:rsidR="00BF4653" w:rsidRPr="001D7E54" w:rsidP="00BF4653" w14:paraId="32E9BB3D" w14:textId="5357FEA9">
      <w:pPr>
        <w:pStyle w:val="FootnoteText"/>
        <w:rPr>
          <w:b/>
          <w:bCs/>
        </w:rPr>
      </w:pPr>
      <w:r w:rsidRPr="001D7E54">
        <w:rPr>
          <w:rStyle w:val="FootnoteReference"/>
          <w:b/>
          <w:bCs/>
          <w:szCs w:val="18"/>
        </w:rPr>
        <w:footnoteRef/>
      </w:r>
      <w:r w:rsidRPr="001D7E54">
        <w:rPr>
          <w:b/>
          <w:bCs/>
          <w:szCs w:val="18"/>
        </w:rPr>
        <w:t xml:space="preserve"> </w:t>
      </w:r>
      <w:r w:rsidRPr="00E406F4" w:rsidR="00A2552E">
        <w:rPr>
          <w:b/>
          <w:bCs/>
          <w:szCs w:val="18"/>
        </w:rPr>
        <w:t xml:space="preserve">This </w:t>
      </w:r>
      <w:r w:rsidR="00A2552E">
        <w:rPr>
          <w:b/>
          <w:bCs/>
          <w:szCs w:val="18"/>
        </w:rPr>
        <w:t>form is prepared on the basis</w:t>
      </w:r>
      <w:r w:rsidRPr="001D7E54" w:rsidR="00A2552E">
        <w:rPr>
          <w:b/>
          <w:bCs/>
          <w:szCs w:val="16"/>
        </w:rPr>
        <w:t xml:space="preserve"> </w:t>
      </w:r>
      <w:r w:rsidRPr="001D7E54">
        <w:rPr>
          <w:b/>
          <w:bCs/>
          <w:szCs w:val="16"/>
        </w:rPr>
        <w:t xml:space="preserve">of </w:t>
      </w:r>
      <w:r w:rsidR="00A2552E">
        <w:rPr>
          <w:b/>
          <w:bCs/>
          <w:szCs w:val="16"/>
        </w:rPr>
        <w:t xml:space="preserve">a </w:t>
      </w:r>
      <w:r w:rsidRPr="001D7E54">
        <w:rPr>
          <w:b/>
          <w:bCs/>
          <w:szCs w:val="16"/>
        </w:rPr>
        <w:t>1.0% brokerage.</w:t>
      </w:r>
    </w:p>
  </w:footnote>
  <w:footnote w:id="7">
    <w:p w:rsidR="00BF4653" w:rsidRPr="001D7E54" w:rsidP="00BF4653" w14:paraId="336D81FB" w14:textId="4CE54C20">
      <w:pPr>
        <w:pStyle w:val="FootnoteText"/>
        <w:rPr>
          <w:b/>
          <w:bCs/>
          <w:szCs w:val="18"/>
        </w:rPr>
      </w:pPr>
      <w:r w:rsidRPr="001D7E54">
        <w:rPr>
          <w:rStyle w:val="FootnoteReference"/>
          <w:b/>
          <w:bCs/>
          <w:szCs w:val="18"/>
        </w:rPr>
        <w:footnoteRef/>
      </w:r>
      <w:r w:rsidRPr="001D7E54">
        <w:rPr>
          <w:b/>
          <w:bCs/>
          <w:szCs w:val="18"/>
        </w:rPr>
        <w:t xml:space="preserve"> </w:t>
      </w:r>
      <w:r w:rsidRPr="00E406F4" w:rsidR="00A2552E">
        <w:rPr>
          <w:b/>
          <w:bCs/>
          <w:szCs w:val="18"/>
        </w:rPr>
        <w:t xml:space="preserve">This </w:t>
      </w:r>
      <w:r w:rsidR="00A2552E">
        <w:rPr>
          <w:b/>
          <w:bCs/>
          <w:szCs w:val="18"/>
        </w:rPr>
        <w:t>form is prepared on the basis</w:t>
      </w:r>
      <w:r w:rsidRPr="001D7E54" w:rsidR="00A2552E">
        <w:rPr>
          <w:b/>
          <w:bCs/>
          <w:szCs w:val="18"/>
        </w:rPr>
        <w:t xml:space="preserve"> </w:t>
      </w:r>
      <w:r w:rsidR="00A2552E">
        <w:rPr>
          <w:b/>
          <w:bCs/>
          <w:szCs w:val="18"/>
        </w:rPr>
        <w:t xml:space="preserve">of </w:t>
      </w:r>
      <w:r w:rsidRPr="001D7E54">
        <w:rPr>
          <w:b/>
          <w:bCs/>
          <w:szCs w:val="18"/>
        </w:rPr>
        <w:t>the current prevailing rate of 0.0027% of SFC transaction levy.</w:t>
      </w:r>
    </w:p>
  </w:footnote>
  <w:footnote w:id="8">
    <w:p w:rsidR="00BF4653" w:rsidRPr="001D7E54" w:rsidP="00BF4653" w14:paraId="2F6B9CD4" w14:textId="0B859D55">
      <w:pPr>
        <w:pStyle w:val="FootnoteText"/>
        <w:rPr>
          <w:b/>
          <w:bCs/>
        </w:rPr>
      </w:pPr>
      <w:r w:rsidRPr="001D7E54">
        <w:rPr>
          <w:rStyle w:val="FootnoteReference"/>
          <w:b/>
          <w:bCs/>
          <w:szCs w:val="18"/>
        </w:rPr>
        <w:footnoteRef/>
      </w:r>
      <w:r w:rsidRPr="001D7E54">
        <w:rPr>
          <w:b/>
          <w:bCs/>
        </w:rPr>
        <w:t xml:space="preserve"> </w:t>
      </w:r>
      <w:r w:rsidRPr="00E406F4" w:rsidR="00A2552E">
        <w:rPr>
          <w:b/>
          <w:bCs/>
          <w:szCs w:val="18"/>
        </w:rPr>
        <w:t xml:space="preserve">This </w:t>
      </w:r>
      <w:r w:rsidR="00A2552E">
        <w:rPr>
          <w:b/>
          <w:bCs/>
          <w:szCs w:val="18"/>
        </w:rPr>
        <w:t>form is prepared on the basis</w:t>
      </w:r>
      <w:r w:rsidRPr="001D7E54" w:rsidR="00A2552E">
        <w:rPr>
          <w:b/>
          <w:bCs/>
          <w:szCs w:val="16"/>
        </w:rPr>
        <w:t xml:space="preserve"> </w:t>
      </w:r>
      <w:r w:rsidR="00A2552E">
        <w:rPr>
          <w:b/>
          <w:bCs/>
          <w:szCs w:val="16"/>
        </w:rPr>
        <w:t xml:space="preserve">of </w:t>
      </w:r>
      <w:r w:rsidRPr="001D7E54">
        <w:rPr>
          <w:b/>
          <w:bCs/>
          <w:szCs w:val="16"/>
        </w:rPr>
        <w:t>the current prevailing rate of 0.00015% of AFRC transaction levy</w:t>
      </w:r>
      <w:r w:rsidRPr="001D7E54">
        <w:rPr>
          <w:b/>
          <w:bCs/>
        </w:rPr>
        <w:t xml:space="preserve">. </w:t>
      </w:r>
    </w:p>
  </w:footnote>
  <w:footnote w:id="9">
    <w:p w:rsidR="00BF4653" w:rsidRPr="001D7E54" w:rsidP="00BF4653" w14:paraId="79E0D8EF" w14:textId="34708EC4">
      <w:pPr>
        <w:pStyle w:val="FootnoteText"/>
        <w:rPr>
          <w:b/>
          <w:bCs/>
          <w:szCs w:val="18"/>
        </w:rPr>
      </w:pPr>
      <w:r w:rsidRPr="001D7E54">
        <w:rPr>
          <w:rStyle w:val="FootnoteReference"/>
          <w:b/>
          <w:bCs/>
          <w:szCs w:val="18"/>
        </w:rPr>
        <w:footnoteRef/>
      </w:r>
      <w:r w:rsidRPr="001D7E54">
        <w:rPr>
          <w:b/>
          <w:bCs/>
          <w:szCs w:val="18"/>
        </w:rPr>
        <w:t xml:space="preserve"> </w:t>
      </w:r>
      <w:r w:rsidRPr="00E406F4" w:rsidR="00A2552E">
        <w:rPr>
          <w:b/>
          <w:bCs/>
          <w:szCs w:val="18"/>
        </w:rPr>
        <w:t xml:space="preserve">This </w:t>
      </w:r>
      <w:r w:rsidR="00A2552E">
        <w:rPr>
          <w:b/>
          <w:bCs/>
          <w:szCs w:val="18"/>
        </w:rPr>
        <w:t>form is prepared on the basis</w:t>
      </w:r>
      <w:r w:rsidRPr="001D7E54" w:rsidR="00A2552E">
        <w:rPr>
          <w:b/>
          <w:bCs/>
          <w:szCs w:val="16"/>
        </w:rPr>
        <w:t xml:space="preserve"> </w:t>
      </w:r>
      <w:r w:rsidR="00A2552E">
        <w:rPr>
          <w:b/>
          <w:bCs/>
          <w:szCs w:val="16"/>
        </w:rPr>
        <w:t xml:space="preserve">of </w:t>
      </w:r>
      <w:r w:rsidRPr="001D7E54">
        <w:rPr>
          <w:b/>
          <w:bCs/>
          <w:szCs w:val="18"/>
        </w:rPr>
        <w:t xml:space="preserve">the current prevailing rate of 0.00565% of trading fee imposed by the Hong Kong Stock Exchange. </w:t>
      </w:r>
    </w:p>
  </w:footnote>
  <w:footnote w:id="10">
    <w:p w:rsidR="00A96E35" w:rsidRPr="00E541B4" w14:paraId="7481D7DA" w14:textId="73CEB926">
      <w:pPr>
        <w:pStyle w:val="FootnoteText"/>
        <w:rPr>
          <w:b/>
          <w:bCs/>
        </w:rPr>
      </w:pPr>
      <w:r w:rsidRPr="00E541B4">
        <w:rPr>
          <w:rStyle w:val="FootnoteReference"/>
          <w:b/>
          <w:bCs/>
        </w:rPr>
        <w:footnoteRef/>
      </w:r>
      <w:r w:rsidRPr="00E541B4">
        <w:rPr>
          <w:b/>
          <w:bCs/>
        </w:rPr>
        <w:t xml:space="preserve"> </w:t>
      </w:r>
      <w:r w:rsidR="00A2552E">
        <w:rPr>
          <w:b/>
          <w:bCs/>
        </w:rPr>
        <w:t>S</w:t>
      </w:r>
      <w:r w:rsidRPr="00E541B4">
        <w:rPr>
          <w:b/>
          <w:bCs/>
        </w:rPr>
        <w:t xml:space="preserve">tamp duty may be payable shall there be </w:t>
      </w:r>
      <w:r w:rsidRPr="00E541B4" w:rsidR="00C978B2">
        <w:rPr>
          <w:b/>
          <w:bCs/>
        </w:rPr>
        <w:t xml:space="preserve">a </w:t>
      </w:r>
      <w:r w:rsidRPr="00E541B4">
        <w:rPr>
          <w:b/>
          <w:bCs/>
        </w:rPr>
        <w:t xml:space="preserve">sale of existing shares. </w:t>
      </w:r>
    </w:p>
  </w:footnote>
  <w:footnote w:id="11">
    <w:p w:rsidR="001A02C5" w:rsidRPr="00E01C4D" w:rsidP="001A02C5" w14:paraId="6AAB86F6" w14:textId="26333FF5">
      <w:pPr>
        <w:pStyle w:val="FootnoteText"/>
        <w:rPr>
          <w:i/>
          <w:iCs/>
          <w:szCs w:val="18"/>
        </w:rPr>
      </w:pPr>
      <w:r w:rsidRPr="001D7E54">
        <w:rPr>
          <w:rStyle w:val="FootnoteReference"/>
          <w:b/>
          <w:bCs/>
          <w:szCs w:val="18"/>
        </w:rPr>
        <w:footnoteRef/>
      </w:r>
      <w:r w:rsidRPr="001D7E54">
        <w:rPr>
          <w:b/>
          <w:bCs/>
          <w:szCs w:val="18"/>
        </w:rPr>
        <w:t xml:space="preserve"> </w:t>
      </w:r>
      <w:r w:rsidRPr="00E406F4" w:rsidR="00A2552E">
        <w:rPr>
          <w:b/>
          <w:bCs/>
          <w:szCs w:val="18"/>
        </w:rPr>
        <w:t xml:space="preserve">This </w:t>
      </w:r>
      <w:r w:rsidR="00A2552E">
        <w:rPr>
          <w:b/>
          <w:bCs/>
          <w:szCs w:val="18"/>
        </w:rPr>
        <w:t>form is prepared on the basis</w:t>
      </w:r>
      <w:r w:rsidRPr="001D7E54" w:rsidR="00A2552E">
        <w:rPr>
          <w:b/>
          <w:bCs/>
          <w:szCs w:val="16"/>
        </w:rPr>
        <w:t xml:space="preserve"> </w:t>
      </w:r>
      <w:r w:rsidR="00A2552E">
        <w:rPr>
          <w:b/>
          <w:bCs/>
          <w:szCs w:val="16"/>
        </w:rPr>
        <w:t xml:space="preserve">of there </w:t>
      </w:r>
      <w:r w:rsidRPr="001D7E54">
        <w:rPr>
          <w:b/>
          <w:bCs/>
          <w:szCs w:val="18"/>
        </w:rPr>
        <w:t>there is more than one overall coordinator, and not all of which are sponsor-overall coordinators.</w:t>
      </w:r>
    </w:p>
  </w:footnote>
  <w:footnote w:id="12">
    <w:p w:rsidR="001A02C5" w:rsidRPr="001D7E54" w:rsidP="001A02C5" w14:paraId="2F26013D" w14:textId="3AA5A116">
      <w:pPr>
        <w:pStyle w:val="FootnoteText"/>
        <w:rPr>
          <w:b/>
          <w:bCs/>
          <w:szCs w:val="18"/>
        </w:rPr>
      </w:pPr>
      <w:r w:rsidRPr="001D7E54">
        <w:rPr>
          <w:rStyle w:val="FootnoteReference"/>
          <w:b/>
          <w:bCs/>
          <w:szCs w:val="18"/>
        </w:rPr>
        <w:footnoteRef/>
      </w:r>
      <w:r w:rsidRPr="001D7E54">
        <w:rPr>
          <w:b/>
          <w:bCs/>
          <w:szCs w:val="18"/>
        </w:rPr>
        <w:t xml:space="preserve"> </w:t>
      </w:r>
      <w:r w:rsidRPr="00E406F4" w:rsidR="00A2552E">
        <w:rPr>
          <w:b/>
          <w:bCs/>
          <w:szCs w:val="18"/>
        </w:rPr>
        <w:t xml:space="preserve">This </w:t>
      </w:r>
      <w:r w:rsidR="00A2552E">
        <w:rPr>
          <w:b/>
          <w:bCs/>
          <w:szCs w:val="18"/>
        </w:rPr>
        <w:t>form is prepared on the basis</w:t>
      </w:r>
      <w:r w:rsidRPr="001D7E54" w:rsidR="00A2552E">
        <w:rPr>
          <w:b/>
          <w:bCs/>
          <w:szCs w:val="16"/>
        </w:rPr>
        <w:t xml:space="preserve"> </w:t>
      </w:r>
      <w:r w:rsidRPr="001D7E54">
        <w:rPr>
          <w:b/>
          <w:bCs/>
          <w:szCs w:val="18"/>
        </w:rPr>
        <w:t>that the listing applicant is seeking listing on the Main Board of the Hong Kong Stock Exchange.</w:t>
      </w:r>
    </w:p>
  </w:footnote>
  <w:footnote w:id="13">
    <w:p w:rsidR="007C502B" w:rsidRPr="007C502B" w:rsidP="007C502B" w14:paraId="3DEB842A" w14:textId="77777777">
      <w:pPr>
        <w:pStyle w:val="FootnoteText"/>
        <w:rPr>
          <w:b/>
          <w:bCs/>
          <w:szCs w:val="18"/>
        </w:rPr>
      </w:pPr>
      <w:r>
        <w:rPr>
          <w:rStyle w:val="FootnoteReference"/>
        </w:rPr>
        <w:footnoteRef/>
      </w:r>
      <w:r>
        <w:t xml:space="preserve"> </w:t>
      </w:r>
      <w:r w:rsidRPr="007C502B">
        <w:rPr>
          <w:b/>
          <w:bCs/>
          <w:szCs w:val="18"/>
        </w:rPr>
        <w:t>To be adjusted depending on whether Mechanism A or Mechanism B under paragraph 2 of Chapter 4.14 of the Guide for New Listing Applicants published by the Stock Exchange is adopted.</w:t>
      </w:r>
    </w:p>
    <w:p w:rsidR="007C502B" w14:paraId="0AC1B3E5" w14:textId="0F3A1521">
      <w:pPr>
        <w:pStyle w:val="FootnoteText"/>
      </w:pPr>
    </w:p>
  </w:footnote>
  <w:footnote w:id="14">
    <w:p w:rsidR="0089403C" w:rsidRPr="00E406F4" w14:paraId="58100A90" w14:textId="6BB9EE85">
      <w:pPr>
        <w:pStyle w:val="FootnoteText"/>
        <w:rPr>
          <w:b/>
          <w:bCs/>
        </w:rPr>
      </w:pPr>
      <w:r w:rsidRPr="00E406F4">
        <w:rPr>
          <w:rStyle w:val="FootnoteReference"/>
          <w:b/>
          <w:bCs/>
        </w:rPr>
        <w:footnoteRef/>
      </w:r>
      <w:r w:rsidRPr="00E406F4">
        <w:rPr>
          <w:b/>
          <w:bCs/>
        </w:rPr>
        <w:t xml:space="preserve"> </w:t>
      </w:r>
      <w:r w:rsidRPr="00E406F4">
        <w:rPr>
          <w:b/>
          <w:bCs/>
          <w:szCs w:val="18"/>
        </w:rPr>
        <w:t>To reflect commercial arrangement</w:t>
      </w:r>
      <w:r w:rsidR="00687238">
        <w:rPr>
          <w:b/>
          <w:bCs/>
          <w:szCs w:val="18"/>
        </w:rPr>
        <w:t xml:space="preserve">; </w:t>
      </w:r>
      <w:r w:rsidR="00215568">
        <w:rPr>
          <w:b/>
          <w:bCs/>
          <w:szCs w:val="18"/>
        </w:rPr>
        <w:t>p</w:t>
      </w:r>
      <w:r w:rsidRPr="00215568" w:rsidR="00215568">
        <w:rPr>
          <w:b/>
          <w:bCs/>
          <w:szCs w:val="18"/>
        </w:rPr>
        <w:t xml:space="preserve">lease </w:t>
      </w:r>
      <w:r w:rsidR="00215568">
        <w:rPr>
          <w:b/>
          <w:bCs/>
          <w:szCs w:val="18"/>
        </w:rPr>
        <w:t xml:space="preserve">also </w:t>
      </w:r>
      <w:r w:rsidRPr="00215568" w:rsidR="00215568">
        <w:rPr>
          <w:b/>
          <w:bCs/>
          <w:szCs w:val="18"/>
        </w:rPr>
        <w:t>be reminded that the total Underwriting Commission percentage and the maximum total Incentive Fee percentage, as well as the respective entitlement of each CMI (if applicable),</w:t>
      </w:r>
      <w:r w:rsidR="00215568">
        <w:rPr>
          <w:b/>
          <w:bCs/>
          <w:szCs w:val="18"/>
        </w:rPr>
        <w:t xml:space="preserve"> </w:t>
      </w:r>
      <w:r w:rsidRPr="00215568" w:rsidR="00215568">
        <w:rPr>
          <w:b/>
          <w:bCs/>
          <w:szCs w:val="18"/>
        </w:rPr>
        <w:t>shall be updated to align with the terms and conditions as set out in the Sponsors and Sponsor-OC Mandates, OC Engagement Letters and CMI Engagement Letters, the submission made to the Stock Exchange pursuant to rule 9.11(23a) of the Listing Rules and the disclosure made in the Prospectus</w:t>
      </w:r>
      <w:r w:rsidR="00687238">
        <w:rPr>
          <w:b/>
          <w:bCs/>
          <w:szCs w:val="18"/>
        </w:rPr>
        <w:t>.</w:t>
      </w:r>
    </w:p>
  </w:footnote>
  <w:footnote w:id="15">
    <w:p w:rsidR="00CA5543" w:rsidRPr="00E406F4" w14:paraId="36449FFE" w14:textId="57005FCC">
      <w:pPr>
        <w:pStyle w:val="FootnoteText"/>
        <w:rPr>
          <w:b/>
          <w:bCs/>
        </w:rPr>
      </w:pPr>
      <w:r w:rsidRPr="00E406F4">
        <w:rPr>
          <w:rStyle w:val="FootnoteReference"/>
          <w:b/>
          <w:bCs/>
        </w:rPr>
        <w:footnoteRef/>
      </w:r>
      <w:r w:rsidRPr="00E406F4">
        <w:rPr>
          <w:b/>
          <w:bCs/>
        </w:rPr>
        <w:t xml:space="preserve"> To reflect commercial arrangement.</w:t>
      </w:r>
    </w:p>
  </w:footnote>
  <w:footnote w:id="16">
    <w:p w:rsidR="000618ED" w:rsidRPr="00E406F4" w14:paraId="5EDF6E49" w14:textId="4467FC23">
      <w:pPr>
        <w:pStyle w:val="FootnoteText"/>
        <w:rPr>
          <w:b/>
          <w:bCs/>
        </w:rPr>
      </w:pPr>
      <w:r w:rsidRPr="00E406F4">
        <w:rPr>
          <w:rStyle w:val="FootnoteReference"/>
          <w:b/>
          <w:bCs/>
        </w:rPr>
        <w:footnoteRef/>
      </w:r>
      <w:r w:rsidRPr="00E406F4">
        <w:rPr>
          <w:b/>
          <w:bCs/>
        </w:rPr>
        <w:t xml:space="preserve"> This formulation assumes a 144A/Reg S offering.</w:t>
      </w:r>
    </w:p>
  </w:footnote>
  <w:footnote w:id="17">
    <w:p w:rsidR="004A2E36" w:rsidRPr="00941D0A" w14:paraId="594A3082" w14:textId="64409B30">
      <w:pPr>
        <w:pStyle w:val="FootnoteText"/>
        <w:rPr>
          <w:b/>
          <w:bCs/>
        </w:rPr>
      </w:pPr>
      <w:r w:rsidRPr="00941D0A">
        <w:rPr>
          <w:rStyle w:val="FootnoteReference"/>
          <w:b/>
          <w:bCs/>
        </w:rPr>
        <w:footnoteRef/>
      </w:r>
      <w:r w:rsidRPr="00941D0A">
        <w:rPr>
          <w:b/>
          <w:bCs/>
        </w:rPr>
        <w:t xml:space="preserve"> To align with HKUA.</w:t>
      </w:r>
    </w:p>
  </w:footnote>
  <w:footnote w:id="18">
    <w:p w:rsidR="004A2E36" w:rsidRPr="00941D0A" w14:paraId="03EB71D1" w14:textId="1D8E5D6D">
      <w:pPr>
        <w:pStyle w:val="FootnoteText"/>
        <w:rPr>
          <w:b/>
          <w:bCs/>
        </w:rPr>
      </w:pPr>
      <w:r w:rsidRPr="00941D0A">
        <w:rPr>
          <w:rStyle w:val="FootnoteReference"/>
          <w:b/>
          <w:bCs/>
        </w:rPr>
        <w:footnoteRef/>
      </w:r>
      <w:r w:rsidRPr="00941D0A">
        <w:rPr>
          <w:b/>
          <w:bCs/>
        </w:rPr>
        <w:t xml:space="preserve"> To align with HKUA.</w:t>
      </w:r>
    </w:p>
  </w:footnote>
  <w:footnote w:id="19">
    <w:p w:rsidR="0007628B" w:rsidRPr="0007628B" w14:paraId="1EFC4D7F" w14:textId="79A2E208">
      <w:pPr>
        <w:pStyle w:val="FootnoteText"/>
        <w:rPr>
          <w:b/>
          <w:bCs/>
        </w:rPr>
      </w:pPr>
      <w:r w:rsidRPr="0007628B">
        <w:rPr>
          <w:rStyle w:val="FootnoteReference"/>
          <w:b/>
          <w:bCs/>
        </w:rPr>
        <w:footnoteRef/>
      </w:r>
      <w:r w:rsidRPr="0007628B">
        <w:rPr>
          <w:b/>
          <w:bCs/>
        </w:rPr>
        <w:t xml:space="preserve"> To align with the HKUA.</w:t>
      </w:r>
    </w:p>
  </w:footnote>
  <w:footnote w:id="20">
    <w:p w:rsidR="003959B7" w:rsidRPr="00E406F4" w14:paraId="40A4D262" w14:textId="78C63906">
      <w:pPr>
        <w:pStyle w:val="FootnoteText"/>
        <w:rPr>
          <w:b/>
          <w:bCs/>
        </w:rPr>
      </w:pPr>
      <w:r w:rsidRPr="00E406F4">
        <w:rPr>
          <w:rStyle w:val="FootnoteReference"/>
          <w:b/>
          <w:bCs/>
        </w:rPr>
        <w:footnoteRef/>
      </w:r>
      <w:r w:rsidRPr="00E406F4">
        <w:rPr>
          <w:b/>
          <w:bCs/>
        </w:rPr>
        <w:t xml:space="preserve"> </w:t>
      </w:r>
      <w:r w:rsidRPr="00E406F4">
        <w:rPr>
          <w:b/>
          <w:bCs/>
          <w:szCs w:val="18"/>
          <w:lang w:eastAsia="zh-CN"/>
        </w:rPr>
        <w:t>To be updated based on the terms and conditions as set out in the Sponsors and Sponsor-OC Mandates.</w:t>
      </w:r>
    </w:p>
  </w:footnote>
  <w:footnote w:id="21">
    <w:p w:rsidR="003959B7" w:rsidRPr="00E01C4D" w:rsidP="003959B7" w14:paraId="679598A4" w14:textId="1B588A44">
      <w:pPr>
        <w:pStyle w:val="FootnoteText"/>
        <w:rPr>
          <w:i/>
          <w:iCs/>
          <w:szCs w:val="18"/>
          <w:lang w:eastAsia="zh-CN"/>
        </w:rPr>
      </w:pPr>
      <w:r w:rsidRPr="00E406F4">
        <w:rPr>
          <w:rStyle w:val="FootnoteReference"/>
          <w:b/>
          <w:bCs/>
          <w:szCs w:val="18"/>
        </w:rPr>
        <w:footnoteRef/>
      </w:r>
      <w:r w:rsidRPr="00E406F4">
        <w:rPr>
          <w:b/>
          <w:bCs/>
          <w:szCs w:val="18"/>
        </w:rPr>
        <w:t xml:space="preserve"> </w:t>
      </w:r>
      <w:r w:rsidRPr="00E406F4">
        <w:rPr>
          <w:rFonts w:hint="eastAsia"/>
          <w:b/>
          <w:bCs/>
          <w:szCs w:val="18"/>
          <w:lang w:eastAsia="zh-CN"/>
        </w:rPr>
        <w:t>T</w:t>
      </w:r>
      <w:r w:rsidRPr="00E406F4">
        <w:rPr>
          <w:b/>
          <w:bCs/>
          <w:szCs w:val="18"/>
          <w:lang w:eastAsia="zh-CN"/>
        </w:rPr>
        <w:t xml:space="preserve">o be included if bank syndicate is authorized to direct the Nominee to deduct from application monies all amounts payable by the Company pursuant to this </w:t>
      </w:r>
      <w:r w:rsidR="00A2552E">
        <w:rPr>
          <w:b/>
          <w:bCs/>
          <w:szCs w:val="18"/>
          <w:lang w:eastAsia="zh-CN"/>
        </w:rPr>
        <w:t>c</w:t>
      </w:r>
      <w:r w:rsidRPr="00E406F4">
        <w:rPr>
          <w:b/>
          <w:bCs/>
          <w:szCs w:val="18"/>
          <w:lang w:eastAsia="zh-CN"/>
        </w:rPr>
        <w:t>lause.</w:t>
      </w:r>
      <w:r w:rsidRPr="005A2345">
        <w:rPr>
          <w:i/>
          <w:iCs/>
          <w:szCs w:val="18"/>
          <w:lang w:eastAsia="zh-CN"/>
        </w:rPr>
        <w:t xml:space="preserve"> </w:t>
      </w:r>
    </w:p>
  </w:footnote>
  <w:footnote w:id="22">
    <w:p w:rsidR="004A2E36" w:rsidRPr="004A2E36" w14:paraId="5A5D28B6" w14:textId="2EBD0E7F">
      <w:pPr>
        <w:pStyle w:val="FootnoteText"/>
        <w:rPr>
          <w:b/>
          <w:bCs/>
        </w:rPr>
      </w:pPr>
      <w:r w:rsidRPr="004A2E36">
        <w:rPr>
          <w:rStyle w:val="FootnoteReference"/>
          <w:b/>
          <w:bCs/>
        </w:rPr>
        <w:footnoteRef/>
      </w:r>
      <w:r w:rsidRPr="004A2E36">
        <w:rPr>
          <w:b/>
          <w:bCs/>
        </w:rPr>
        <w:t xml:space="preserve"> To align with the HKUA.</w:t>
      </w:r>
    </w:p>
  </w:footnote>
  <w:footnote w:id="23">
    <w:p w:rsidR="00B93695" w:rsidRPr="00B93695" w14:paraId="5B5A341C" w14:textId="25E1F608">
      <w:pPr>
        <w:pStyle w:val="FootnoteText"/>
        <w:rPr>
          <w:b/>
          <w:bCs/>
        </w:rPr>
      </w:pPr>
      <w:r w:rsidRPr="005A2F0B">
        <w:rPr>
          <w:rStyle w:val="FootnoteReference"/>
          <w:b/>
          <w:bCs/>
        </w:rPr>
        <w:footnoteRef/>
      </w:r>
      <w:r w:rsidRPr="005A2F0B">
        <w:rPr>
          <w:b/>
          <w:bCs/>
        </w:rPr>
        <w:t xml:space="preserve"> </w:t>
      </w:r>
      <w:r w:rsidRPr="005A2F0B" w:rsidR="005A2F0B">
        <w:rPr>
          <w:b/>
          <w:bCs/>
        </w:rPr>
        <w:t>Include if applicable (e.g.,</w:t>
      </w:r>
      <w:r w:rsidR="005A2F0B">
        <w:rPr>
          <w:b/>
          <w:bCs/>
        </w:rPr>
        <w:t xml:space="preserve"> sanctions/export control issues necessitate an opinion</w:t>
      </w:r>
      <w:r w:rsidR="00C660E1">
        <w:rPr>
          <w:b/>
          <w:bCs/>
        </w:rPr>
        <w:t xml:space="preserve"> from the Company’s sanctions/export controls counsel</w:t>
      </w:r>
      <w:r w:rsidRPr="005A2F0B" w:rsidR="005A2F0B">
        <w:rPr>
          <w:b/>
          <w:bCs/>
        </w:rPr>
        <w:t>).</w:t>
      </w:r>
    </w:p>
  </w:footnote>
  <w:footnote w:id="24">
    <w:p w:rsidR="00941D0A" w:rsidRPr="00941D0A" w14:paraId="791C60A0" w14:textId="68A846DA">
      <w:pPr>
        <w:pStyle w:val="FootnoteText"/>
        <w:rPr>
          <w:b/>
          <w:bCs/>
        </w:rPr>
      </w:pPr>
      <w:r w:rsidRPr="00941D0A">
        <w:rPr>
          <w:rStyle w:val="FootnoteReference"/>
          <w:b/>
          <w:bCs/>
        </w:rPr>
        <w:footnoteRef/>
      </w:r>
      <w:r w:rsidRPr="00941D0A">
        <w:rPr>
          <w:b/>
          <w:bCs/>
        </w:rPr>
        <w:t xml:space="preserve"> To align with HKUA.</w:t>
      </w:r>
    </w:p>
  </w:footnote>
  <w:footnote w:id="25">
    <w:p w:rsidR="00390480" w14:paraId="56D761D4" w14:textId="1AB31102">
      <w:pPr>
        <w:pStyle w:val="FootnoteText"/>
      </w:pPr>
      <w:r>
        <w:rPr>
          <w:rStyle w:val="FootnoteReference"/>
        </w:rPr>
        <w:footnoteRef/>
      </w:r>
      <w:r>
        <w:t xml:space="preserve"> </w:t>
      </w:r>
      <w:r w:rsidRPr="00390480">
        <w:rPr>
          <w:b/>
          <w:bCs/>
          <w:snapToGrid w:val="0"/>
        </w:rPr>
        <w:t>To include other applicable jurisdictions, including all jurisdictions marketed to</w:t>
      </w:r>
      <w:r>
        <w:rPr>
          <w:b/>
          <w:bCs/>
          <w:snapToGrid w:val="0"/>
        </w:rPr>
        <w:t>.</w:t>
      </w:r>
    </w:p>
  </w:footnote>
  <w:footnote w:id="26">
    <w:p w:rsidR="009913F8" w:rsidRPr="009913F8" w14:paraId="71B7C604" w14:textId="62A03E36">
      <w:pPr>
        <w:pStyle w:val="FootnoteText"/>
        <w:rPr>
          <w:b/>
          <w:bCs/>
        </w:rPr>
      </w:pPr>
      <w:r w:rsidRPr="009913F8">
        <w:rPr>
          <w:rStyle w:val="FootnoteReference"/>
          <w:b/>
          <w:bCs/>
        </w:rPr>
        <w:footnoteRef/>
      </w:r>
      <w:r w:rsidRPr="009913F8">
        <w:rPr>
          <w:b/>
          <w:bCs/>
        </w:rPr>
        <w:t xml:space="preserve"> </w:t>
      </w:r>
      <w:r w:rsidRPr="009913F8">
        <w:rPr>
          <w:b/>
          <w:bCs/>
          <w:snapToGrid w:val="0"/>
        </w:rPr>
        <w:t>To include other signing parties if applicable.</w:t>
      </w:r>
    </w:p>
  </w:footnote>
  <w:footnote w:id="27">
    <w:p w:rsidR="009858F1" w:rsidRPr="00E406F4" w:rsidP="009858F1" w14:paraId="4FD75DE7" w14:textId="709A3D97">
      <w:pPr>
        <w:pStyle w:val="FootnoteText"/>
        <w:rPr>
          <w:b/>
          <w:bCs/>
          <w:szCs w:val="18"/>
          <w:lang w:eastAsia="zh-CN"/>
        </w:rPr>
      </w:pPr>
      <w:r w:rsidRPr="00E406F4">
        <w:rPr>
          <w:rStyle w:val="FootnoteReference"/>
          <w:b/>
          <w:bCs/>
          <w:szCs w:val="18"/>
        </w:rPr>
        <w:footnoteRef/>
      </w:r>
      <w:r w:rsidRPr="00E406F4">
        <w:rPr>
          <w:b/>
          <w:bCs/>
          <w:szCs w:val="18"/>
        </w:rPr>
        <w:t xml:space="preserve"> This document is drafted </w:t>
      </w:r>
      <w:r w:rsidR="00A2552E">
        <w:rPr>
          <w:b/>
          <w:bCs/>
          <w:szCs w:val="18"/>
        </w:rPr>
        <w:t>on the basis</w:t>
      </w:r>
      <w:r w:rsidRPr="00E406F4">
        <w:rPr>
          <w:b/>
          <w:bCs/>
          <w:szCs w:val="18"/>
        </w:rPr>
        <w:t xml:space="preserve"> that only the Warrantors are required to appoint process agent for the service of process in New York.</w:t>
      </w:r>
    </w:p>
  </w:footnote>
  <w:footnote w:id="28">
    <w:p w:rsidR="009858F1" w:rsidRPr="00E406F4" w:rsidP="009858F1" w14:paraId="43A5AFAD" w14:textId="0B431C33">
      <w:pPr>
        <w:pStyle w:val="FootnoteText"/>
        <w:rPr>
          <w:b/>
          <w:bCs/>
          <w:szCs w:val="18"/>
          <w:lang w:eastAsia="zh-CN"/>
        </w:rPr>
      </w:pPr>
      <w:r w:rsidRPr="00E406F4">
        <w:rPr>
          <w:rStyle w:val="FootnoteReference"/>
          <w:b/>
          <w:bCs/>
          <w:szCs w:val="18"/>
        </w:rPr>
        <w:footnoteRef/>
      </w:r>
      <w:r w:rsidRPr="00E406F4">
        <w:rPr>
          <w:b/>
          <w:bCs/>
          <w:szCs w:val="18"/>
        </w:rPr>
        <w:t xml:space="preserve"> </w:t>
      </w:r>
      <w:r w:rsidRPr="00E406F4">
        <w:rPr>
          <w:rFonts w:hint="eastAsia"/>
          <w:b/>
          <w:bCs/>
          <w:szCs w:val="18"/>
          <w:lang w:eastAsia="zh-CN"/>
        </w:rPr>
        <w:t>T</w:t>
      </w:r>
      <w:r w:rsidRPr="00E406F4">
        <w:rPr>
          <w:b/>
          <w:bCs/>
          <w:szCs w:val="18"/>
          <w:lang w:eastAsia="zh-CN"/>
        </w:rPr>
        <w:t>his clause to be included and updated based on the internal requirements of the bank syndicate.</w:t>
      </w:r>
    </w:p>
  </w:footnote>
  <w:footnote w:id="29">
    <w:p w:rsidR="00E06661" w:rsidRPr="00E406F4" w:rsidP="00E06661" w14:paraId="131A4683" w14:textId="77777777">
      <w:pPr>
        <w:pStyle w:val="FootnoteText"/>
        <w:rPr>
          <w:b/>
          <w:bCs/>
          <w:szCs w:val="18"/>
          <w:lang w:eastAsia="zh-CN"/>
        </w:rPr>
      </w:pPr>
      <w:r w:rsidRPr="00E406F4">
        <w:rPr>
          <w:rStyle w:val="FootnoteReference"/>
          <w:b/>
          <w:bCs/>
          <w:szCs w:val="18"/>
        </w:rPr>
        <w:footnoteRef/>
      </w:r>
      <w:r w:rsidRPr="00E406F4">
        <w:rPr>
          <w:b/>
          <w:bCs/>
        </w:rPr>
        <w:t xml:space="preserve"> </w:t>
      </w:r>
      <w:r w:rsidRPr="00E406F4">
        <w:rPr>
          <w:rFonts w:hint="eastAsia"/>
          <w:b/>
          <w:bCs/>
          <w:szCs w:val="18"/>
          <w:lang w:eastAsia="zh-CN"/>
        </w:rPr>
        <w:t>T</w:t>
      </w:r>
      <w:r w:rsidRPr="00E406F4">
        <w:rPr>
          <w:b/>
          <w:bCs/>
          <w:szCs w:val="18"/>
          <w:lang w:eastAsia="zh-CN"/>
        </w:rPr>
        <w:t>his clause to be included and updated based on the internal requirements of the bank syndicate.</w:t>
      </w:r>
    </w:p>
  </w:footnote>
  <w:footnote w:id="30">
    <w:p w:rsidR="009858F1" w:rsidRPr="00E406F4" w:rsidP="009858F1" w14:paraId="2C2D6E10" w14:textId="6839C4E3">
      <w:pPr>
        <w:pStyle w:val="FootnoteText"/>
        <w:rPr>
          <w:b/>
          <w:bCs/>
          <w:szCs w:val="18"/>
          <w:lang w:eastAsia="zh-CN"/>
        </w:rPr>
      </w:pPr>
      <w:r w:rsidRPr="00E406F4">
        <w:rPr>
          <w:rStyle w:val="FootnoteReference"/>
          <w:b/>
          <w:bCs/>
          <w:szCs w:val="18"/>
        </w:rPr>
        <w:footnoteRef/>
      </w:r>
      <w:r w:rsidRPr="00E406F4">
        <w:rPr>
          <w:b/>
          <w:bCs/>
        </w:rPr>
        <w:t xml:space="preserve"> </w:t>
      </w:r>
      <w:r w:rsidRPr="00E406F4">
        <w:rPr>
          <w:rFonts w:hint="eastAsia"/>
          <w:b/>
          <w:bCs/>
          <w:szCs w:val="18"/>
          <w:lang w:eastAsia="zh-CN"/>
        </w:rPr>
        <w:t>T</w:t>
      </w:r>
      <w:r w:rsidRPr="00E406F4">
        <w:rPr>
          <w:b/>
          <w:bCs/>
          <w:szCs w:val="18"/>
          <w:lang w:eastAsia="zh-CN"/>
        </w:rPr>
        <w:t>his clause to be included and updated based on the internal requirements of the bank syndicate.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8C6" w14:paraId="710C26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38C6" w14:paraId="6EDFED7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E45" w:rsidRPr="00D95CFD" w:rsidP="00A469A2" w14:paraId="5A276D73" w14:textId="473CCF2D">
    <w:pPr>
      <w:pStyle w:val="Header"/>
      <w:jc w:val="right"/>
      <w:rPr>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50B1"/>
    <w:multiLevelType w:val="multilevel"/>
    <w:tmpl w:val="52200C1E"/>
    <w:lvl w:ilvl="0">
      <w:start w:val="1"/>
      <w:numFmt w:val="upperLetter"/>
      <w:suff w:val="nothing"/>
      <w:lvlText w:val="Exhibit %1"/>
      <w:lvlJc w:val="left"/>
      <w:pPr>
        <w:ind w:left="315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
    <w:nsid w:val="032B33D5"/>
    <w:multiLevelType w:val="multilevel"/>
    <w:tmpl w:val="52200C1E"/>
    <w:name w:val="Schedule 1"/>
    <w:lvl w:ilvl="0">
      <w:start w:val="1"/>
      <w:numFmt w:val="upperLetter"/>
      <w:suff w:val="nothing"/>
      <w:lvlText w:val="Exhibit %1"/>
      <w:lvlJc w:val="left"/>
      <w:pPr>
        <w:ind w:left="315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
    <w:nsid w:val="0A213FF0"/>
    <w:multiLevelType w:val="hybridMultilevel"/>
    <w:tmpl w:val="D90C2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BE06E7"/>
    <w:multiLevelType w:val="hybridMultilevel"/>
    <w:tmpl w:val="08D0647C"/>
    <w:lvl w:ilvl="0">
      <w:start w:val="0"/>
      <w:numFmt w:val="bullet"/>
      <w:lvlText w:val="•"/>
      <w:lvlJc w:val="left"/>
      <w:pPr>
        <w:ind w:left="1115" w:hanging="479"/>
      </w:pPr>
      <w:rPr>
        <w:rFonts w:ascii="Times New Roman" w:eastAsia="Times New Roman" w:hAnsi="Times New Roman" w:cs="Times New Roman" w:hint="default"/>
        <w:b w:val="0"/>
        <w:bCs w:val="0"/>
        <w:i w:val="0"/>
        <w:iCs w:val="0"/>
        <w:color w:val="231916"/>
        <w:w w:val="99"/>
        <w:sz w:val="21"/>
        <w:szCs w:val="21"/>
      </w:rPr>
    </w:lvl>
    <w:lvl w:ilvl="1">
      <w:start w:val="0"/>
      <w:numFmt w:val="bullet"/>
      <w:lvlText w:val="•"/>
      <w:lvlJc w:val="left"/>
      <w:pPr>
        <w:ind w:left="1954" w:hanging="479"/>
      </w:pPr>
      <w:rPr>
        <w:rFonts w:hint="default"/>
      </w:rPr>
    </w:lvl>
    <w:lvl w:ilvl="2">
      <w:start w:val="0"/>
      <w:numFmt w:val="bullet"/>
      <w:lvlText w:val="•"/>
      <w:lvlJc w:val="left"/>
      <w:pPr>
        <w:ind w:left="2789" w:hanging="479"/>
      </w:pPr>
      <w:rPr>
        <w:rFonts w:hint="default"/>
      </w:rPr>
    </w:lvl>
    <w:lvl w:ilvl="3">
      <w:start w:val="0"/>
      <w:numFmt w:val="bullet"/>
      <w:lvlText w:val="•"/>
      <w:lvlJc w:val="left"/>
      <w:pPr>
        <w:ind w:left="3623" w:hanging="479"/>
      </w:pPr>
      <w:rPr>
        <w:rFonts w:hint="default"/>
      </w:rPr>
    </w:lvl>
    <w:lvl w:ilvl="4">
      <w:start w:val="0"/>
      <w:numFmt w:val="bullet"/>
      <w:lvlText w:val="•"/>
      <w:lvlJc w:val="left"/>
      <w:pPr>
        <w:ind w:left="4458" w:hanging="479"/>
      </w:pPr>
      <w:rPr>
        <w:rFonts w:hint="default"/>
      </w:rPr>
    </w:lvl>
    <w:lvl w:ilvl="5">
      <w:start w:val="0"/>
      <w:numFmt w:val="bullet"/>
      <w:lvlText w:val="•"/>
      <w:lvlJc w:val="left"/>
      <w:pPr>
        <w:ind w:left="5292" w:hanging="479"/>
      </w:pPr>
      <w:rPr>
        <w:rFonts w:hint="default"/>
      </w:rPr>
    </w:lvl>
    <w:lvl w:ilvl="6">
      <w:start w:val="0"/>
      <w:numFmt w:val="bullet"/>
      <w:lvlText w:val="•"/>
      <w:lvlJc w:val="left"/>
      <w:pPr>
        <w:ind w:left="6127" w:hanging="479"/>
      </w:pPr>
      <w:rPr>
        <w:rFonts w:hint="default"/>
      </w:rPr>
    </w:lvl>
    <w:lvl w:ilvl="7">
      <w:start w:val="0"/>
      <w:numFmt w:val="bullet"/>
      <w:lvlText w:val="•"/>
      <w:lvlJc w:val="left"/>
      <w:pPr>
        <w:ind w:left="6961" w:hanging="479"/>
      </w:pPr>
      <w:rPr>
        <w:rFonts w:hint="default"/>
      </w:rPr>
    </w:lvl>
    <w:lvl w:ilvl="8">
      <w:start w:val="0"/>
      <w:numFmt w:val="bullet"/>
      <w:lvlText w:val="•"/>
      <w:lvlJc w:val="left"/>
      <w:pPr>
        <w:ind w:left="7796" w:hanging="479"/>
      </w:pPr>
      <w:rPr>
        <w:rFonts w:hint="default"/>
      </w:rPr>
    </w:lvl>
  </w:abstractNum>
  <w:abstractNum w:abstractNumId="4">
    <w:nsid w:val="15FE68E4"/>
    <w:multiLevelType w:val="multilevel"/>
    <w:tmpl w:val="0F9E8634"/>
    <w:name w:val="a72743c2-f7ad-4945-b855-a943ae0bb8fc"/>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nsid w:val="188256FB"/>
    <w:multiLevelType w:val="multilevel"/>
    <w:tmpl w:val="2E9C847C"/>
    <w:lvl w:ilvl="0">
      <w:start w:val="1"/>
      <w:numFmt w:val="bullet"/>
      <w:pStyle w:val="TableBullet1"/>
      <w:lvlText w:val="●"/>
      <w:lvlJc w:val="left"/>
      <w:pPr>
        <w:tabs>
          <w:tab w:val="num" w:pos="360"/>
        </w:tabs>
        <w:ind w:left="360" w:hanging="360"/>
      </w:pPr>
      <w:rPr>
        <w:rFonts w:ascii="Calibri" w:hAnsi="Calibri" w:hint="default"/>
      </w:rPr>
    </w:lvl>
    <w:lvl w:ilvl="1">
      <w:start w:val="1"/>
      <w:numFmt w:val="bullet"/>
      <w:pStyle w:val="TableBullet2"/>
      <w:lvlText w:val="●"/>
      <w:lvlJc w:val="left"/>
      <w:pPr>
        <w:tabs>
          <w:tab w:val="num" w:pos="720"/>
        </w:tabs>
        <w:ind w:left="72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70284F"/>
    <w:multiLevelType w:val="multilevel"/>
    <w:tmpl w:val="31BEC28C"/>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color w:val="000000"/>
      </w:rPr>
    </w:lvl>
    <w:lvl w:ilvl="2">
      <w:start w:val="1"/>
      <w:numFmt w:val="bullet"/>
      <w:pStyle w:val="ListBullet3"/>
      <w:lvlText w:val=""/>
      <w:lvlJc w:val="left"/>
      <w:pPr>
        <w:tabs>
          <w:tab w:val="num" w:pos="2160"/>
        </w:tabs>
        <w:ind w:left="2160" w:hanging="720"/>
      </w:pPr>
      <w:rPr>
        <w:rFonts w:ascii="Symbol" w:hAnsi="Symbol" w:hint="default"/>
        <w:color w:val="000000"/>
      </w:rPr>
    </w:lvl>
    <w:lvl w:ilvl="3">
      <w:start w:val="1"/>
      <w:numFmt w:val="bullet"/>
      <w:pStyle w:val="ListBullet4"/>
      <w:lvlText w:val=""/>
      <w:lvlJc w:val="left"/>
      <w:pPr>
        <w:tabs>
          <w:tab w:val="num" w:pos="2880"/>
        </w:tabs>
        <w:ind w:left="2880" w:hanging="720"/>
      </w:pPr>
      <w:rPr>
        <w:rFonts w:ascii="Symbol" w:hAnsi="Symbol" w:hint="default"/>
        <w:color w:val="000000"/>
      </w:rPr>
    </w:lvl>
    <w:lvl w:ilvl="4">
      <w:start w:val="1"/>
      <w:numFmt w:val="bullet"/>
      <w:pStyle w:val="ListBullet5"/>
      <w:lvlText w:val=""/>
      <w:lvlJc w:val="left"/>
      <w:pPr>
        <w:tabs>
          <w:tab w:val="num" w:pos="3600"/>
        </w:tabs>
        <w:ind w:left="3600" w:hanging="720"/>
      </w:pPr>
      <w:rPr>
        <w:rFonts w:ascii="Symbol" w:hAnsi="Symbol" w:hint="default"/>
        <w:color w:val="000000"/>
      </w:rPr>
    </w:lvl>
    <w:lvl w:ilvl="5">
      <w:start w:val="1"/>
      <w:numFmt w:val="bullet"/>
      <w:lvlText w:val=""/>
      <w:lvlJc w:val="left"/>
      <w:pPr>
        <w:tabs>
          <w:tab w:val="num" w:pos="4320"/>
        </w:tabs>
        <w:ind w:left="4320" w:hanging="720"/>
      </w:pPr>
      <w:rPr>
        <w:rFonts w:ascii="Symbol" w:hAnsi="Symbol" w:hint="default"/>
        <w:color w:val="000000"/>
      </w:rPr>
    </w:lvl>
    <w:lvl w:ilvl="6">
      <w:start w:val="1"/>
      <w:numFmt w:val="bullet"/>
      <w:lvlText w:val=""/>
      <w:lvlJc w:val="left"/>
      <w:pPr>
        <w:tabs>
          <w:tab w:val="num" w:pos="5040"/>
        </w:tabs>
        <w:ind w:left="5040" w:hanging="720"/>
      </w:pPr>
      <w:rPr>
        <w:rFonts w:ascii="Symbol" w:hAnsi="Symbol" w:hint="default"/>
        <w:color w:val="000000"/>
      </w:rPr>
    </w:lvl>
    <w:lvl w:ilvl="7">
      <w:start w:val="1"/>
      <w:numFmt w:val="bullet"/>
      <w:lvlText w:val=""/>
      <w:lvlJc w:val="left"/>
      <w:pPr>
        <w:tabs>
          <w:tab w:val="num" w:pos="5760"/>
        </w:tabs>
        <w:ind w:left="5760" w:hanging="720"/>
      </w:pPr>
      <w:rPr>
        <w:rFonts w:ascii="Symbol" w:hAnsi="Symbol" w:hint="default"/>
        <w:color w:val="000000"/>
      </w:rPr>
    </w:lvl>
    <w:lvl w:ilvl="8">
      <w:start w:val="1"/>
      <w:numFmt w:val="bullet"/>
      <w:lvlText w:val=""/>
      <w:lvlJc w:val="left"/>
      <w:pPr>
        <w:tabs>
          <w:tab w:val="num" w:pos="6480"/>
        </w:tabs>
        <w:ind w:left="6480" w:hanging="720"/>
      </w:pPr>
      <w:rPr>
        <w:rFonts w:ascii="Symbol" w:hAnsi="Symbol" w:hint="default"/>
        <w:color w:val="000000"/>
      </w:rPr>
    </w:lvl>
  </w:abstractNum>
  <w:abstractNum w:abstractNumId="7">
    <w:nsid w:val="27244A13"/>
    <w:multiLevelType w:val="hybridMultilevel"/>
    <w:tmpl w:val="D90C2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2D0C13"/>
    <w:multiLevelType w:val="multilevel"/>
    <w:tmpl w:val="76EE0DDC"/>
    <w:name w:val="df35da0d-0008-4c6e-8f5a-2748c4d81a41"/>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9">
    <w:nsid w:val="29D04203"/>
    <w:multiLevelType w:val="multilevel"/>
    <w:tmpl w:val="752C858E"/>
    <w:name w:val="Scheme 12"/>
    <w:lvl w:ilvl="0">
      <w:start w:val="1"/>
      <w:numFmt w:val="decimal"/>
      <w:suff w:val="nothing"/>
      <w:lvlText w:val="Schedule %1"/>
      <w:lvlJc w:val="left"/>
      <w:pPr>
        <w:tabs>
          <w:tab w:val="num" w:pos="0"/>
        </w:tabs>
        <w:ind w:left="0" w:firstLine="0"/>
      </w:pPr>
      <w:rPr>
        <w:rFonts w:ascii="Times New Roman Bold" w:hAnsi="Times New Roman Bold" w:cs="Times New Roman"/>
        <w:b/>
        <w:i w:val="0"/>
        <w:color w:val="auto"/>
        <w:sz w:val="22"/>
        <w:u w:val="none"/>
      </w:rPr>
    </w:lvl>
    <w:lvl w:ilvl="1">
      <w:start w:val="1"/>
      <w:numFmt w:val="decimal"/>
      <w:suff w:val="nothing"/>
      <w:lvlText w:val="Part %2"/>
      <w:lvlJc w:val="left"/>
      <w:pPr>
        <w:tabs>
          <w:tab w:val="num" w:pos="0"/>
        </w:tabs>
        <w:ind w:left="0" w:firstLine="0"/>
      </w:pPr>
      <w:rPr>
        <w:rFonts w:ascii="Times New Roman Bold" w:hAnsi="Times New Roman Bold" w:cs="Times New Roman"/>
        <w:b/>
        <w:i w:val="0"/>
        <w:color w:val="auto"/>
        <w:sz w:val="22"/>
        <w:u w:val="none"/>
      </w:rPr>
    </w:lvl>
    <w:lvl w:ilvl="2">
      <w:start w:val="1"/>
      <w:numFmt w:val="decimal"/>
      <w:lvlText w:val="%3."/>
      <w:lvlJc w:val="left"/>
      <w:pPr>
        <w:tabs>
          <w:tab w:val="num" w:pos="720"/>
        </w:tabs>
        <w:ind w:left="720" w:hanging="720"/>
      </w:pPr>
      <w:rPr>
        <w:rFonts w:ascii="Times New Roman" w:hAnsi="Times New Roman" w:cs="Times New Roman"/>
        <w:b w:val="0"/>
        <w:i w:val="0"/>
        <w:color w:val="auto"/>
        <w:sz w:val="22"/>
        <w:u w:val="none"/>
      </w:rPr>
    </w:lvl>
    <w:lvl w:ilvl="3">
      <w:start w:val="1"/>
      <w:numFmt w:val="decimal"/>
      <w:lvlText w:val="%3.%4"/>
      <w:lvlJc w:val="left"/>
      <w:pPr>
        <w:tabs>
          <w:tab w:val="num" w:pos="720"/>
        </w:tabs>
        <w:ind w:left="720" w:hanging="720"/>
      </w:pPr>
      <w:rPr>
        <w:rFonts w:ascii="Times New Roman" w:hAnsi="Times New Roman" w:cs="Times New Roman"/>
        <w:b w:val="0"/>
        <w:i w:val="0"/>
        <w:color w:val="auto"/>
        <w:sz w:val="22"/>
        <w:u w:val="none"/>
      </w:rPr>
    </w:lvl>
    <w:lvl w:ilvl="4">
      <w:start w:val="1"/>
      <w:numFmt w:val="lowerLetter"/>
      <w:lvlText w:val="(%5)"/>
      <w:lvlJc w:val="left"/>
      <w:pPr>
        <w:tabs>
          <w:tab w:val="num" w:pos="1440"/>
        </w:tabs>
        <w:ind w:left="1440" w:hanging="720"/>
      </w:pPr>
      <w:rPr>
        <w:rFonts w:ascii="Times New Roman" w:hAnsi="Times New Roman" w:cs="Times New Roman"/>
        <w:b w:val="0"/>
        <w:i w:val="0"/>
        <w:color w:val="auto"/>
        <w:sz w:val="22"/>
        <w:u w:val="none"/>
      </w:rPr>
    </w:lvl>
    <w:lvl w:ilvl="5">
      <w:start w:val="1"/>
      <w:numFmt w:val="lowerRoman"/>
      <w:lvlText w:val="(%6)"/>
      <w:lvlJc w:val="left"/>
      <w:pPr>
        <w:tabs>
          <w:tab w:val="num" w:pos="2160"/>
        </w:tabs>
        <w:ind w:left="2160" w:hanging="720"/>
      </w:pPr>
      <w:rPr>
        <w:rFonts w:ascii="Times New Roman" w:hAnsi="Times New Roman" w:cs="Times New Roman"/>
        <w:b w:val="0"/>
        <w:i w:val="0"/>
        <w:color w:val="auto"/>
        <w:sz w:val="22"/>
        <w:u w:val="none"/>
      </w:rPr>
    </w:lvl>
    <w:lvl w:ilvl="6">
      <w:start w:val="1"/>
      <w:numFmt w:val="upperLetter"/>
      <w:lvlText w:val="(%7)"/>
      <w:lvlJc w:val="left"/>
      <w:pPr>
        <w:tabs>
          <w:tab w:val="num" w:pos="2880"/>
        </w:tabs>
        <w:ind w:left="2880" w:hanging="720"/>
      </w:pPr>
      <w:rPr>
        <w:rFonts w:ascii="Times New Roman" w:hAnsi="Times New Roman" w:cs="Times New Roman"/>
        <w:b w:val="0"/>
        <w:i w:val="0"/>
        <w:color w:val="auto"/>
        <w:sz w:val="22"/>
        <w:u w:val="none"/>
      </w:rPr>
    </w:lvl>
    <w:lvl w:ilvl="7">
      <w:start w:val="1"/>
      <w:numFmt w:val="decimal"/>
      <w:lvlText w:val="(%8)"/>
      <w:lvlJc w:val="left"/>
      <w:pPr>
        <w:tabs>
          <w:tab w:val="num" w:pos="3600"/>
        </w:tabs>
        <w:ind w:left="3600" w:hanging="720"/>
      </w:pPr>
      <w:rPr>
        <w:rFonts w:ascii="Times New Roman" w:hAnsi="Times New Roman" w:cs="Times New Roman"/>
        <w:b w:val="0"/>
        <w:i w:val="0"/>
        <w:color w:val="auto"/>
        <w:sz w:val="22"/>
        <w:u w:val="none"/>
      </w:rPr>
    </w:lvl>
    <w:lvl w:ilvl="8">
      <w:start w:val="1"/>
      <w:numFmt w:val="lowerRoman"/>
      <w:lvlText w:val="(%9)"/>
      <w:lvlJc w:val="left"/>
      <w:pPr>
        <w:tabs>
          <w:tab w:val="num" w:pos="6480"/>
        </w:tabs>
        <w:ind w:left="5760" w:firstLine="0"/>
      </w:pPr>
      <w:rPr>
        <w:color w:val="010000"/>
        <w:u w:val="none"/>
      </w:rPr>
    </w:lvl>
  </w:abstractNum>
  <w:abstractNum w:abstractNumId="10">
    <w:nsid w:val="2B1F08EC"/>
    <w:multiLevelType w:val="multilevel"/>
    <w:tmpl w:val="9C82CE90"/>
    <w:lvl w:ilvl="0">
      <w:start w:val="1"/>
      <w:numFmt w:val="decimal"/>
      <w:pStyle w:val="ListNumber"/>
      <w:lvlText w:val="%1."/>
      <w:lvlJc w:val="left"/>
      <w:pPr>
        <w:tabs>
          <w:tab w:val="num" w:pos="720"/>
        </w:tabs>
        <w:ind w:left="720" w:hanging="720"/>
      </w:pPr>
      <w:rPr>
        <w:rFonts w:hint="default"/>
      </w:rPr>
    </w:lvl>
    <w:lvl w:ilvl="1">
      <w:start w:val="1"/>
      <w:numFmt w:val="decimal"/>
      <w:pStyle w:val="ListNumber2"/>
      <w:lvlText w:val="%1.%2"/>
      <w:lvlJc w:val="left"/>
      <w:pPr>
        <w:tabs>
          <w:tab w:val="num" w:pos="720"/>
        </w:tabs>
        <w:ind w:left="720" w:hanging="720"/>
      </w:pPr>
      <w:rPr>
        <w:rFonts w:hint="default"/>
      </w:rPr>
    </w:lvl>
    <w:lvl w:ilvl="2">
      <w:start w:val="1"/>
      <w:numFmt w:val="lowerLetter"/>
      <w:pStyle w:val="ListNumber3"/>
      <w:lvlText w:val="(%3)"/>
      <w:lvlJc w:val="left"/>
      <w:pPr>
        <w:tabs>
          <w:tab w:val="num" w:pos="1440"/>
        </w:tabs>
        <w:ind w:left="1440" w:hanging="720"/>
      </w:pPr>
      <w:rPr>
        <w:rFonts w:hint="default"/>
      </w:rPr>
    </w:lvl>
    <w:lvl w:ilvl="3">
      <w:start w:val="1"/>
      <w:numFmt w:val="lowerRoman"/>
      <w:pStyle w:val="ListNumber4"/>
      <w:lvlText w:val="(%4)"/>
      <w:lvlJc w:val="left"/>
      <w:pPr>
        <w:tabs>
          <w:tab w:val="num" w:pos="2160"/>
        </w:tabs>
        <w:ind w:left="2160" w:hanging="720"/>
      </w:pPr>
      <w:rPr>
        <w:rFonts w:hint="default"/>
      </w:rPr>
    </w:lvl>
    <w:lvl w:ilvl="4">
      <w:start w:val="1"/>
      <w:numFmt w:val="upperLetter"/>
      <w:pStyle w:val="ListNumber5"/>
      <w:lvlText w:val="(%5)"/>
      <w:lvlJc w:val="left"/>
      <w:pPr>
        <w:tabs>
          <w:tab w:val="num" w:pos="2880"/>
        </w:tabs>
        <w:ind w:left="2880" w:hanging="720"/>
      </w:pPr>
      <w:rPr>
        <w:rFonts w:hint="default"/>
      </w:rPr>
    </w:lvl>
    <w:lvl w:ilvl="5">
      <w:start w:val="1"/>
      <w:numFmt w:val="decimal"/>
      <w:lvlRestart w:val="0"/>
      <w:lvlText w:val="(%6)"/>
      <w:lvlJc w:val="left"/>
      <w:pPr>
        <w:tabs>
          <w:tab w:val="num" w:pos="3600"/>
        </w:tabs>
        <w:ind w:left="360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11">
    <w:nsid w:val="2B267B63"/>
    <w:multiLevelType w:val="multilevel"/>
    <w:tmpl w:val="FB243874"/>
    <w:name w:val="Definitions"/>
    <w:lvl w:ilvl="0">
      <w:start w:val="1"/>
      <w:numFmt w:val="none"/>
      <w:suff w:val="nothing"/>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nsid w:val="2C4753B3"/>
    <w:multiLevelType w:val="hybridMultilevel"/>
    <w:tmpl w:val="872896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9D2807"/>
    <w:multiLevelType w:val="multilevel"/>
    <w:tmpl w:val="52200C1E"/>
    <w:lvl w:ilvl="0">
      <w:start w:val="1"/>
      <w:numFmt w:val="upperLetter"/>
      <w:suff w:val="nothing"/>
      <w:lvlText w:val="Exhibit %1"/>
      <w:lvlJc w:val="left"/>
      <w:pPr>
        <w:ind w:left="315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355F305C"/>
    <w:multiLevelType w:val="hybridMultilevel"/>
    <w:tmpl w:val="D90C2F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A22AAC"/>
    <w:multiLevelType w:val="multilevel"/>
    <w:tmpl w:val="A6CC4902"/>
    <w:lvl w:ilvl="0">
      <w:start w:val="1"/>
      <w:numFmt w:val="upperRoman"/>
      <w:pStyle w:val="Schedule"/>
      <w:suff w:val="nothing"/>
      <w:lvlText w:val="Schedule %1"/>
      <w:lvlJc w:val="left"/>
      <w:pPr>
        <w:ind w:left="0" w:firstLine="0"/>
      </w:pPr>
      <w:rPr>
        <w:rFonts w:hint="default"/>
        <w:b/>
        <w:i w:val="0"/>
        <w:caps/>
      </w:rPr>
    </w:lvl>
    <w:lvl w:ilvl="1">
      <w:start w:val="1"/>
      <w:numFmt w:val="upperLetter"/>
      <w:pStyle w:val="SchedulePart"/>
      <w:suff w:val="nothing"/>
      <w:lvlText w:val="Part %2"/>
      <w:lvlJc w:val="left"/>
      <w:pPr>
        <w:ind w:left="0" w:firstLine="0"/>
      </w:pPr>
      <w:rPr>
        <w:rFonts w:hint="default"/>
        <w:caps/>
      </w:rPr>
    </w:lvl>
    <w:lvl w:ilvl="2">
      <w:start w:val="1"/>
      <w:numFmt w:val="none"/>
      <w:lvlJc w:val="left"/>
      <w:pPr>
        <w:tabs>
          <w:tab w:val="num" w:pos="709"/>
        </w:tabs>
        <w:ind w:left="0" w:firstLine="0"/>
      </w:pPr>
      <w:rPr>
        <w:rFonts w:ascii="Times New Roman" w:hAnsi="Times New Roman" w:hint="default"/>
      </w:rPr>
    </w:lvl>
    <w:lvl w:ilvl="3">
      <w:start w:val="1"/>
      <w:numFmt w:val="none"/>
      <w:lvlJc w:val="left"/>
      <w:pPr>
        <w:tabs>
          <w:tab w:val="num" w:pos="709"/>
        </w:tabs>
        <w:ind w:left="0" w:firstLine="0"/>
      </w:pPr>
      <w:rPr>
        <w:rFonts w:ascii="Times New Roman" w:hAnsi="Times New Roman" w:hint="default"/>
      </w:rPr>
    </w:lvl>
    <w:lvl w:ilvl="4">
      <w:start w:val="1"/>
      <w:numFmt w:val="none"/>
      <w:lvlJc w:val="left"/>
      <w:pPr>
        <w:tabs>
          <w:tab w:val="num" w:pos="709"/>
        </w:tabs>
        <w:ind w:left="0" w:firstLine="0"/>
      </w:pPr>
      <w:rPr>
        <w:rFonts w:ascii="Times New Roman" w:hAnsi="Times New Roman" w:hint="default"/>
      </w:rPr>
    </w:lvl>
    <w:lvl w:ilvl="5">
      <w:start w:val="1"/>
      <w:numFmt w:val="none"/>
      <w:lvlJc w:val="left"/>
      <w:pPr>
        <w:tabs>
          <w:tab w:val="num" w:pos="709"/>
        </w:tabs>
        <w:ind w:left="0" w:firstLine="0"/>
      </w:pPr>
      <w:rPr>
        <w:rFonts w:ascii="Times New Roman" w:hAnsi="Times New Roman" w:hint="default"/>
      </w:rPr>
    </w:lvl>
    <w:lvl w:ilvl="6">
      <w:start w:val="1"/>
      <w:numFmt w:val="none"/>
      <w:lvlJc w:val="left"/>
      <w:pPr>
        <w:tabs>
          <w:tab w:val="num" w:pos="709"/>
        </w:tabs>
        <w:ind w:left="0" w:firstLine="0"/>
      </w:pPr>
      <w:rPr>
        <w:rFonts w:ascii="Times New Roman" w:hAnsi="Times New Roman" w:hint="default"/>
      </w:rPr>
    </w:lvl>
    <w:lvl w:ilvl="7">
      <w:start w:val="1"/>
      <w:numFmt w:val="none"/>
      <w:lvlJc w:val="left"/>
      <w:pPr>
        <w:tabs>
          <w:tab w:val="num" w:pos="709"/>
        </w:tabs>
        <w:ind w:left="0" w:firstLine="0"/>
      </w:pPr>
      <w:rPr>
        <w:rFonts w:ascii="Times New Roman" w:hAnsi="Times New Roman" w:hint="default"/>
        <w:b/>
        <w:i w:val="0"/>
        <w:caps/>
      </w:rPr>
    </w:lvl>
    <w:lvl w:ilvl="8">
      <w:start w:val="1"/>
      <w:numFmt w:val="none"/>
      <w:lvlJc w:val="left"/>
      <w:pPr>
        <w:tabs>
          <w:tab w:val="num" w:pos="709"/>
        </w:tabs>
        <w:ind w:left="0" w:firstLine="0"/>
      </w:pPr>
      <w:rPr>
        <w:rFonts w:ascii="Times New Roman" w:hAnsi="Times New Roman" w:hint="default"/>
        <w:b/>
        <w:i w:val="0"/>
      </w:rPr>
    </w:lvl>
  </w:abstractNum>
  <w:abstractNum w:abstractNumId="16">
    <w:nsid w:val="3E4E095F"/>
    <w:multiLevelType w:val="multilevel"/>
    <w:tmpl w:val="81CC10D0"/>
    <w:lvl w:ilvl="0">
      <w:start w:val="1"/>
      <w:numFmt w:val="none"/>
      <w:pStyle w:val="Definition1"/>
      <w:suff w:val="nothing"/>
      <w:lvlText w:val="%1"/>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17">
    <w:nsid w:val="3E562AC9"/>
    <w:multiLevelType w:val="hybridMultilevel"/>
    <w:tmpl w:val="A7C85234"/>
    <w:lvl w:ilvl="0">
      <w:start w:val="1"/>
      <w:numFmt w:val="decimal"/>
      <w:lvlText w:val="(%1)"/>
      <w:lvlJc w:val="left"/>
      <w:pPr>
        <w:ind w:left="636" w:hanging="479"/>
      </w:pPr>
      <w:rPr>
        <w:rFonts w:ascii="Times New Roman" w:eastAsia="Times New Roman" w:hAnsi="Times New Roman" w:cs="Times New Roman" w:hint="default"/>
        <w:b w:val="0"/>
        <w:bCs w:val="0"/>
        <w:i w:val="0"/>
        <w:iCs w:val="0"/>
        <w:color w:val="231916"/>
        <w:spacing w:val="0"/>
        <w:w w:val="100"/>
        <w:sz w:val="20"/>
        <w:szCs w:val="20"/>
      </w:rPr>
    </w:lvl>
    <w:lvl w:ilvl="1">
      <w:start w:val="0"/>
      <w:numFmt w:val="bullet"/>
      <w:lvlText w:val="•"/>
      <w:lvlJc w:val="left"/>
      <w:pPr>
        <w:ind w:left="1115" w:hanging="479"/>
      </w:pPr>
      <w:rPr>
        <w:rFonts w:ascii="Times New Roman" w:eastAsia="Times New Roman" w:hAnsi="Times New Roman" w:cs="Times New Roman" w:hint="default"/>
        <w:b w:val="0"/>
        <w:bCs w:val="0"/>
        <w:i w:val="0"/>
        <w:iCs w:val="0"/>
        <w:color w:val="231916"/>
        <w:w w:val="99"/>
        <w:sz w:val="21"/>
        <w:szCs w:val="21"/>
      </w:rPr>
    </w:lvl>
    <w:lvl w:ilvl="2">
      <w:start w:val="0"/>
      <w:numFmt w:val="bullet"/>
      <w:lvlText w:val="•"/>
      <w:lvlJc w:val="left"/>
      <w:pPr>
        <w:ind w:left="2047" w:hanging="479"/>
      </w:pPr>
      <w:rPr>
        <w:rFonts w:hint="default"/>
      </w:rPr>
    </w:lvl>
    <w:lvl w:ilvl="3">
      <w:start w:val="0"/>
      <w:numFmt w:val="bullet"/>
      <w:lvlText w:val="•"/>
      <w:lvlJc w:val="left"/>
      <w:pPr>
        <w:ind w:left="2974" w:hanging="479"/>
      </w:pPr>
      <w:rPr>
        <w:rFonts w:hint="default"/>
      </w:rPr>
    </w:lvl>
    <w:lvl w:ilvl="4">
      <w:start w:val="0"/>
      <w:numFmt w:val="bullet"/>
      <w:lvlText w:val="•"/>
      <w:lvlJc w:val="left"/>
      <w:pPr>
        <w:ind w:left="3901" w:hanging="479"/>
      </w:pPr>
      <w:rPr>
        <w:rFonts w:hint="default"/>
      </w:rPr>
    </w:lvl>
    <w:lvl w:ilvl="5">
      <w:start w:val="0"/>
      <w:numFmt w:val="bullet"/>
      <w:lvlText w:val="•"/>
      <w:lvlJc w:val="left"/>
      <w:pPr>
        <w:ind w:left="4829" w:hanging="479"/>
      </w:pPr>
      <w:rPr>
        <w:rFonts w:hint="default"/>
      </w:rPr>
    </w:lvl>
    <w:lvl w:ilvl="6">
      <w:start w:val="0"/>
      <w:numFmt w:val="bullet"/>
      <w:lvlText w:val="•"/>
      <w:lvlJc w:val="left"/>
      <w:pPr>
        <w:ind w:left="5756" w:hanging="479"/>
      </w:pPr>
      <w:rPr>
        <w:rFonts w:hint="default"/>
      </w:rPr>
    </w:lvl>
    <w:lvl w:ilvl="7">
      <w:start w:val="0"/>
      <w:numFmt w:val="bullet"/>
      <w:lvlText w:val="•"/>
      <w:lvlJc w:val="left"/>
      <w:pPr>
        <w:ind w:left="6683" w:hanging="479"/>
      </w:pPr>
      <w:rPr>
        <w:rFonts w:hint="default"/>
      </w:rPr>
    </w:lvl>
    <w:lvl w:ilvl="8">
      <w:start w:val="0"/>
      <w:numFmt w:val="bullet"/>
      <w:lvlText w:val="•"/>
      <w:lvlJc w:val="left"/>
      <w:pPr>
        <w:ind w:left="7610" w:hanging="479"/>
      </w:pPr>
      <w:rPr>
        <w:rFonts w:hint="default"/>
      </w:rPr>
    </w:lvl>
  </w:abstractNum>
  <w:abstractNum w:abstractNumId="18">
    <w:nsid w:val="3F206B51"/>
    <w:multiLevelType w:val="multilevel"/>
    <w:tmpl w:val="D38E6804"/>
    <w:lvl w:ilvl="0">
      <w:start w:val="1"/>
      <w:numFmt w:val="upperLetter"/>
      <w:pStyle w:val="AppendixHeadingTitle"/>
      <w:suff w:val="nothing"/>
      <w:lvlText w:val="Exhibit %1"/>
      <w:lvlJc w:val="left"/>
      <w:pPr>
        <w:ind w:left="0" w:firstLine="0"/>
      </w:pPr>
      <w:rPr>
        <w:rFonts w:hint="default"/>
        <w:b/>
        <w:i w:val="0"/>
        <w:caps/>
      </w:rPr>
    </w:lvl>
    <w:lvl w:ilvl="1">
      <w:start w:val="1"/>
      <w:numFmt w:val="none"/>
      <w:suff w:val="nothing"/>
      <w:lvlJc w:val="left"/>
      <w:pPr>
        <w:ind w:left="0" w:firstLine="0"/>
      </w:pPr>
      <w:rPr>
        <w:rFonts w:hint="eastAsia"/>
      </w:rPr>
    </w:lvl>
    <w:lvl w:ilvl="2">
      <w:start w:val="1"/>
      <w:numFmt w:val="decimal"/>
      <w:lvlText w:val="%2%3."/>
      <w:lvlJc w:val="left"/>
      <w:pPr>
        <w:tabs>
          <w:tab w:val="num" w:pos="720"/>
        </w:tabs>
        <w:ind w:left="720" w:hanging="720"/>
      </w:pPr>
      <w:rPr>
        <w:rFonts w:hint="eastAsia"/>
      </w:rPr>
    </w:lvl>
    <w:lvl w:ilvl="3">
      <w:start w:val="1"/>
      <w:numFmt w:val="decimal"/>
      <w:lvlText w:val="%3.%4"/>
      <w:lvlJc w:val="left"/>
      <w:pPr>
        <w:tabs>
          <w:tab w:val="num" w:pos="720"/>
        </w:tabs>
        <w:ind w:left="720" w:hanging="720"/>
      </w:pPr>
      <w:rPr>
        <w:rFonts w:hint="eastAsia"/>
      </w:rPr>
    </w:lvl>
    <w:lvl w:ilvl="4">
      <w:start w:val="1"/>
      <w:numFmt w:val="lowerLetter"/>
      <w:lvlText w:val="(%5)"/>
      <w:lvlJc w:val="left"/>
      <w:pPr>
        <w:tabs>
          <w:tab w:val="num" w:pos="1440"/>
        </w:tabs>
        <w:ind w:left="1440" w:hanging="720"/>
      </w:pPr>
      <w:rPr>
        <w:rFonts w:hint="eastAsia"/>
      </w:rPr>
    </w:lvl>
    <w:lvl w:ilvl="5">
      <w:start w:val="1"/>
      <w:numFmt w:val="lowerRoman"/>
      <w:lvlText w:val="(%6)"/>
      <w:lvlJc w:val="left"/>
      <w:pPr>
        <w:tabs>
          <w:tab w:val="num" w:pos="2160"/>
        </w:tabs>
        <w:ind w:left="2160" w:hanging="720"/>
      </w:pPr>
      <w:rPr>
        <w:rFonts w:hint="eastAsia"/>
      </w:rPr>
    </w:lvl>
    <w:lvl w:ilvl="6">
      <w:start w:val="1"/>
      <w:numFmt w:val="upperLetter"/>
      <w:lvlText w:val="(%7)"/>
      <w:lvlJc w:val="left"/>
      <w:pPr>
        <w:tabs>
          <w:tab w:val="num" w:pos="2880"/>
        </w:tabs>
        <w:ind w:left="2880" w:hanging="72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9">
    <w:nsid w:val="40734EDF"/>
    <w:multiLevelType w:val="multilevel"/>
    <w:tmpl w:val="803AB1EC"/>
    <w:lvl w:ilvl="0">
      <w:start w:val="1"/>
      <w:numFmt w:val="upperRoman"/>
      <w:pStyle w:val="APPTITLE01"/>
      <w:suff w:val="nothing"/>
      <w:lvlText w:val="APPENDIX %1"/>
      <w:lvlJc w:val="left"/>
      <w:pPr>
        <w:ind w:left="0" w:firstLine="0"/>
      </w:pPr>
      <w:rPr>
        <w:rFonts w:hint="default"/>
        <w:b/>
        <w:i w:val="0"/>
        <w:caps/>
        <w:vanish w:val="0"/>
        <w:sz w:val="24"/>
      </w:rPr>
    </w:lvl>
    <w:lvl w:ilvl="1">
      <w:start w:val="1"/>
      <w:numFmt w:val="none"/>
      <w:pStyle w:val="APPTITLE02"/>
      <w:suff w:val="nothing"/>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1917AF6"/>
    <w:multiLevelType w:val="multilevel"/>
    <w:tmpl w:val="BEEE6488"/>
    <w:name w:val="General 1"/>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21">
    <w:nsid w:val="53995047"/>
    <w:multiLevelType w:val="hybridMultilevel"/>
    <w:tmpl w:val="F3966D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F87D9E"/>
    <w:multiLevelType w:val="multilevel"/>
    <w:tmpl w:val="4386BD0E"/>
    <w:lvl w:ilvl="0">
      <w:start w:val="1"/>
      <w:numFmt w:val="none"/>
      <w:pStyle w:val="ScheduleTitle"/>
      <w:suff w:val="nothing"/>
      <w:lvlJc w:val="left"/>
      <w:pPr>
        <w:ind w:left="0" w:firstLine="0"/>
      </w:pPr>
      <w:rPr>
        <w:rFonts w:hint="default"/>
        <w:b/>
        <w:i w:val="0"/>
        <w:sz w:val="24"/>
      </w:rPr>
    </w:lvl>
    <w:lvl w:ilvl="1">
      <w:start w:val="1"/>
      <w:numFmt w:val="decimal"/>
      <w:pStyle w:val="Schedule1"/>
      <w:lvlText w:val="%2."/>
      <w:lvlJc w:val="left"/>
      <w:pPr>
        <w:tabs>
          <w:tab w:val="num" w:pos="720"/>
        </w:tabs>
        <w:ind w:left="720" w:hanging="720"/>
      </w:pPr>
      <w:rPr>
        <w:rFonts w:hint="default"/>
        <w:b/>
        <w:i w:val="0"/>
        <w:sz w:val="24"/>
      </w:rPr>
    </w:lvl>
    <w:lvl w:ilvl="2">
      <w:start w:val="1"/>
      <w:numFmt w:val="lowerLetter"/>
      <w:pStyle w:val="Schedule2"/>
      <w:lvlText w:val="(%3)"/>
      <w:lvlJc w:val="left"/>
      <w:pPr>
        <w:tabs>
          <w:tab w:val="num" w:pos="1440"/>
        </w:tabs>
        <w:ind w:left="1440" w:hanging="720"/>
      </w:pPr>
      <w:rPr>
        <w:rFonts w:hint="default"/>
        <w:b w:val="0"/>
        <w:i w:val="0"/>
        <w:sz w:val="24"/>
      </w:rPr>
    </w:lvl>
    <w:lvl w:ilvl="3">
      <w:start w:val="1"/>
      <w:numFmt w:val="lowerRoman"/>
      <w:pStyle w:val="Schedule3"/>
      <w:lvlText w:val="(%4)"/>
      <w:lvlJc w:val="left"/>
      <w:pPr>
        <w:tabs>
          <w:tab w:val="num" w:pos="2160"/>
        </w:tabs>
        <w:ind w:left="2160" w:hanging="720"/>
      </w:pPr>
      <w:rPr>
        <w:rFonts w:hint="default"/>
        <w:b w:val="0"/>
        <w:i w:val="0"/>
        <w:sz w:val="24"/>
      </w:rPr>
    </w:lvl>
    <w:lvl w:ilvl="4">
      <w:start w:val="1"/>
      <w:numFmt w:val="upperLetter"/>
      <w:pStyle w:val="Schedule4"/>
      <w:lvlText w:val="(%5)"/>
      <w:lvlJc w:val="left"/>
      <w:pPr>
        <w:tabs>
          <w:tab w:val="num" w:pos="2880"/>
        </w:tabs>
        <w:ind w:left="2880" w:hanging="720"/>
      </w:pPr>
      <w:rPr>
        <w:rFonts w:hint="default"/>
        <w:b w:val="0"/>
        <w:i w:val="0"/>
        <w:sz w:val="24"/>
      </w:rPr>
    </w:lvl>
    <w:lvl w:ilvl="5">
      <w:start w:val="1"/>
      <w:numFmt w:val="decimal"/>
      <w:pStyle w:val="Schedule5"/>
      <w:lvlText w:val="(%6)"/>
      <w:lvlJc w:val="left"/>
      <w:pPr>
        <w:tabs>
          <w:tab w:val="num" w:pos="3600"/>
        </w:tabs>
        <w:ind w:left="3600" w:hanging="720"/>
      </w:pPr>
      <w:rPr>
        <w:rFonts w:hint="default"/>
        <w:b w:val="0"/>
        <w:i w:val="0"/>
        <w:sz w:val="24"/>
      </w:rPr>
    </w:lvl>
    <w:lvl w:ilvl="6">
      <w:start w:val="1"/>
      <w:numFmt w:val="lowerLetter"/>
      <w:pStyle w:val="Schedule6"/>
      <w:lvlText w:val="(%7)"/>
      <w:lvlJc w:val="left"/>
      <w:pPr>
        <w:tabs>
          <w:tab w:val="num" w:pos="4320"/>
        </w:tabs>
        <w:ind w:left="4320" w:hanging="720"/>
      </w:pPr>
      <w:rPr>
        <w:rFonts w:hint="default"/>
        <w:b w:val="0"/>
        <w:i w:val="0"/>
        <w:sz w:val="24"/>
      </w:rPr>
    </w:lvl>
    <w:lvl w:ilvl="7">
      <w:start w:val="1"/>
      <w:numFmt w:val="lowerRoman"/>
      <w:pStyle w:val="Schedule7"/>
      <w:lvlText w:val="(%8)"/>
      <w:lvlJc w:val="left"/>
      <w:pPr>
        <w:tabs>
          <w:tab w:val="num" w:pos="5040"/>
        </w:tabs>
        <w:ind w:left="5040" w:hanging="720"/>
      </w:pPr>
      <w:rPr>
        <w:rFonts w:hint="default"/>
        <w:b w:val="0"/>
        <w:i w:val="0"/>
        <w:sz w:val="24"/>
      </w:rPr>
    </w:lvl>
    <w:lvl w:ilvl="8">
      <w:start w:val="1"/>
      <w:numFmt w:val="upperLetter"/>
      <w:pStyle w:val="Schedule8"/>
      <w:lvlText w:val="%9)"/>
      <w:lvlJc w:val="left"/>
      <w:pPr>
        <w:tabs>
          <w:tab w:val="num" w:pos="5760"/>
        </w:tabs>
        <w:ind w:left="5760" w:hanging="720"/>
      </w:pPr>
      <w:rPr>
        <w:rFonts w:hint="default"/>
      </w:rPr>
    </w:lvl>
  </w:abstractNum>
  <w:abstractNum w:abstractNumId="23">
    <w:nsid w:val="59B52D9D"/>
    <w:multiLevelType w:val="multilevel"/>
    <w:tmpl w:val="8A0C6128"/>
    <w:name w:val="Schedule 3"/>
    <w:lvl w:ilvl="0">
      <w:start w:val="1"/>
      <w:numFmt w:val="upperRoman"/>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nsid w:val="5B870BAD"/>
    <w:multiLevelType w:val="multilevel"/>
    <w:tmpl w:val="07B86FFC"/>
    <w:lvl w:ilvl="0">
      <w:start w:val="1"/>
      <w:numFmt w:val="decimal"/>
      <w:pStyle w:val="Heading1"/>
      <w:lvlText w:val="%1."/>
      <w:lvlJc w:val="left"/>
      <w:pPr>
        <w:tabs>
          <w:tab w:val="num" w:pos="720"/>
        </w:tabs>
        <w:ind w:left="720" w:hanging="720"/>
      </w:pPr>
      <w:rPr>
        <w:rFonts w:cs="Times New Roman" w:hint="default"/>
        <w:b/>
        <w:i w:val="0"/>
        <w:caps/>
        <w:smallCaps w:val="0"/>
        <w:color w:val="000000"/>
        <w:sz w:val="24"/>
        <w:u w:val="none"/>
      </w:rPr>
    </w:lvl>
    <w:lvl w:ilvl="1">
      <w:start w:val="1"/>
      <w:numFmt w:val="decimal"/>
      <w:pStyle w:val="Heading2"/>
      <w:isLgl/>
      <w:lvlText w:val="%1.%2"/>
      <w:lvlJc w:val="left"/>
      <w:pPr>
        <w:tabs>
          <w:tab w:val="num" w:pos="720"/>
        </w:tabs>
        <w:ind w:left="720" w:hanging="720"/>
      </w:pPr>
      <w:rPr>
        <w:rFonts w:cs="Times New Roman" w:hint="default"/>
        <w:b w:val="0"/>
        <w:i w:val="0"/>
        <w:caps w:val="0"/>
        <w:smallCaps w:val="0"/>
        <w:color w:val="000000"/>
        <w:sz w:val="24"/>
        <w:u w:val="none"/>
      </w:rPr>
    </w:lvl>
    <w:lvl w:ilvl="2">
      <w:start w:val="1"/>
      <w:numFmt w:val="lowerLetter"/>
      <w:pStyle w:val="Heading3"/>
      <w:lvlText w:val="(%3)"/>
      <w:lvlJc w:val="left"/>
      <w:pPr>
        <w:tabs>
          <w:tab w:val="num" w:pos="1440"/>
        </w:tabs>
        <w:ind w:left="1440" w:hanging="720"/>
      </w:pPr>
      <w:rPr>
        <w:rFonts w:cs="Times New Roman" w:hint="default"/>
        <w:b w:val="0"/>
        <w:i w:val="0"/>
        <w:caps w:val="0"/>
        <w:smallCaps w:val="0"/>
        <w:color w:val="000000"/>
        <w:sz w:val="24"/>
        <w:u w:val="none"/>
      </w:rPr>
    </w:lvl>
    <w:lvl w:ilvl="3">
      <w:start w:val="1"/>
      <w:numFmt w:val="lowerRoman"/>
      <w:pStyle w:val="Heading4"/>
      <w:lvlText w:val="(%4)"/>
      <w:lvlJc w:val="left"/>
      <w:pPr>
        <w:tabs>
          <w:tab w:val="num" w:pos="2160"/>
        </w:tabs>
        <w:ind w:left="2160" w:hanging="720"/>
      </w:pPr>
      <w:rPr>
        <w:rFonts w:cs="Times New Roman" w:hint="default"/>
        <w:b w:val="0"/>
        <w:i w:val="0"/>
        <w:caps w:val="0"/>
        <w:smallCaps w:val="0"/>
        <w:color w:val="000000"/>
        <w:sz w:val="24"/>
        <w:u w:val="none"/>
      </w:rPr>
    </w:lvl>
    <w:lvl w:ilvl="4">
      <w:start w:val="1"/>
      <w:numFmt w:val="upperLetter"/>
      <w:pStyle w:val="Heading5"/>
      <w:lvlText w:val="(%5)"/>
      <w:lvlJc w:val="left"/>
      <w:pPr>
        <w:tabs>
          <w:tab w:val="num" w:pos="2880"/>
        </w:tabs>
        <w:ind w:left="2880" w:hanging="720"/>
      </w:pPr>
      <w:rPr>
        <w:rFonts w:cs="Times New Roman" w:hint="default"/>
        <w:b w:val="0"/>
        <w:i w:val="0"/>
        <w:caps w:val="0"/>
        <w:smallCaps w:val="0"/>
        <w:color w:val="000000"/>
        <w:sz w:val="24"/>
        <w:u w:val="none"/>
      </w:rPr>
    </w:lvl>
    <w:lvl w:ilvl="5">
      <w:start w:val="1"/>
      <w:numFmt w:val="decimal"/>
      <w:pStyle w:val="Heading6"/>
      <w:lvlText w:val="(%6)"/>
      <w:lvlJc w:val="left"/>
      <w:pPr>
        <w:tabs>
          <w:tab w:val="num" w:pos="3600"/>
        </w:tabs>
        <w:ind w:left="3600" w:hanging="720"/>
      </w:pPr>
      <w:rPr>
        <w:rFonts w:cs="Times New Roman" w:hint="default"/>
        <w:b w:val="0"/>
        <w:i w:val="0"/>
        <w:caps w:val="0"/>
        <w:smallCaps w:val="0"/>
        <w:color w:val="000000"/>
        <w:sz w:val="24"/>
        <w:u w:val="none"/>
      </w:rPr>
    </w:lvl>
    <w:lvl w:ilvl="6">
      <w:start w:val="1"/>
      <w:numFmt w:val="lowerLetter"/>
      <w:pStyle w:val="Heading7"/>
      <w:lvlText w:val="(%7)"/>
      <w:lvlJc w:val="left"/>
      <w:pPr>
        <w:tabs>
          <w:tab w:val="num" w:pos="4320"/>
        </w:tabs>
        <w:ind w:left="4320" w:hanging="720"/>
      </w:pPr>
      <w:rPr>
        <w:rFonts w:hint="default"/>
        <w:b w:val="0"/>
        <w:i w:val="0"/>
        <w:caps w:val="0"/>
        <w:smallCaps w:val="0"/>
        <w:color w:val="000000"/>
        <w:sz w:val="24"/>
        <w:u w:val="none"/>
      </w:rPr>
    </w:lvl>
    <w:lvl w:ilvl="7">
      <w:start w:val="1"/>
      <w:numFmt w:val="lowerLetter"/>
      <w:pStyle w:val="Heading8"/>
      <w:lvlText w:val="%8)"/>
      <w:lvlJc w:val="left"/>
      <w:pPr>
        <w:tabs>
          <w:tab w:val="num" w:pos="5040"/>
        </w:tabs>
        <w:ind w:left="5040" w:hanging="720"/>
      </w:pPr>
      <w:rPr>
        <w:rFonts w:hint="default"/>
      </w:rPr>
    </w:lvl>
    <w:lvl w:ilvl="8">
      <w:start w:val="1"/>
      <w:numFmt w:val="upperRoman"/>
      <w:pStyle w:val="Heading9"/>
      <w:suff w:val="nothing"/>
      <w:lvlText w:val="%9"/>
      <w:lvlJc w:val="left"/>
      <w:pPr>
        <w:ind w:left="0" w:firstLine="0"/>
      </w:pPr>
      <w:rPr>
        <w:rFonts w:hint="default"/>
        <w:b w:val="0"/>
        <w:i w:val="0"/>
        <w:vanish/>
        <w:color w:val="FFFFFF" w:themeColor="background1"/>
        <w:sz w:val="24"/>
      </w:rPr>
    </w:lvl>
  </w:abstractNum>
  <w:abstractNum w:abstractNumId="25">
    <w:nsid w:val="67503358"/>
    <w:multiLevelType w:val="multilevel"/>
    <w:tmpl w:val="7460F6D0"/>
    <w:lvl w:ilvl="0">
      <w:start w:val="1"/>
      <w:numFmt w:val="upperRoman"/>
      <w:pStyle w:val="TOC4"/>
      <w:lvlText w:val="Appendix %1"/>
      <w:lvlJc w:val="left"/>
      <w:pPr>
        <w:tabs>
          <w:tab w:val="num" w:pos="1800"/>
        </w:tabs>
        <w:ind w:left="1800" w:hanging="1800"/>
      </w:pPr>
      <w:rPr>
        <w:rFonts w:hint="default"/>
        <w:b w:val="0"/>
        <w:i w:val="0"/>
        <w:caps/>
        <w:vanish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8100D60"/>
    <w:multiLevelType w:val="multilevel"/>
    <w:tmpl w:val="D06402B8"/>
    <w:lvl w:ilvl="0">
      <w:start w:val="1"/>
      <w:numFmt w:val="none"/>
      <w:pStyle w:val="SchedulePartTitle"/>
      <w:suff w:val="nothing"/>
      <w:lvlJc w:val="left"/>
      <w:pPr>
        <w:ind w:left="0" w:firstLine="0"/>
      </w:pPr>
      <w:rPr>
        <w:rFonts w:hint="eastAsia"/>
      </w:rPr>
    </w:lvl>
    <w:lvl w:ilvl="1">
      <w:start w:val="1"/>
      <w:numFmt w:val="decimal"/>
      <w:pStyle w:val="SchedulePartHeading1"/>
      <w:lvlText w:val="%2."/>
      <w:lvlJc w:val="left"/>
      <w:pPr>
        <w:tabs>
          <w:tab w:val="num" w:pos="720"/>
        </w:tabs>
        <w:ind w:left="720" w:hanging="720"/>
      </w:pPr>
      <w:rPr>
        <w:rFonts w:hint="eastAsia"/>
      </w:rPr>
    </w:lvl>
    <w:lvl w:ilvl="2">
      <w:start w:val="1"/>
      <w:numFmt w:val="decimal"/>
      <w:pStyle w:val="SchedulePartHeading2"/>
      <w:lvlText w:val="%2.%3"/>
      <w:lvlJc w:val="left"/>
      <w:pPr>
        <w:tabs>
          <w:tab w:val="num" w:pos="720"/>
        </w:tabs>
        <w:ind w:left="720" w:hanging="720"/>
      </w:pPr>
      <w:rPr>
        <w:rFonts w:hint="eastAsia"/>
      </w:rPr>
    </w:lvl>
    <w:lvl w:ilvl="3">
      <w:start w:val="1"/>
      <w:numFmt w:val="lowerLetter"/>
      <w:pStyle w:val="SchedulePartHeading3"/>
      <w:lvlText w:val="(%4)"/>
      <w:lvlJc w:val="left"/>
      <w:pPr>
        <w:tabs>
          <w:tab w:val="num" w:pos="1440"/>
        </w:tabs>
        <w:ind w:left="1440" w:hanging="720"/>
      </w:pPr>
      <w:rPr>
        <w:rFonts w:hint="eastAsia"/>
      </w:rPr>
    </w:lvl>
    <w:lvl w:ilvl="4">
      <w:start w:val="1"/>
      <w:numFmt w:val="lowerRoman"/>
      <w:pStyle w:val="SchedulePartHeading4"/>
      <w:lvlText w:val="(%5)"/>
      <w:lvlJc w:val="left"/>
      <w:pPr>
        <w:tabs>
          <w:tab w:val="num" w:pos="2160"/>
        </w:tabs>
        <w:ind w:left="2160" w:hanging="720"/>
      </w:pPr>
      <w:rPr>
        <w:rFonts w:hint="eastAsia"/>
      </w:rPr>
    </w:lvl>
    <w:lvl w:ilvl="5">
      <w:start w:val="1"/>
      <w:numFmt w:val="upperLetter"/>
      <w:pStyle w:val="SchedulePartHeading5"/>
      <w:lvlText w:val="(%6)"/>
      <w:lvlJc w:val="left"/>
      <w:pPr>
        <w:tabs>
          <w:tab w:val="num" w:pos="2880"/>
        </w:tabs>
        <w:ind w:left="2880" w:hanging="720"/>
      </w:pPr>
      <w:rPr>
        <w:rFonts w:hint="eastAsia"/>
      </w:rPr>
    </w:lvl>
    <w:lvl w:ilvl="6">
      <w:start w:val="1"/>
      <w:numFmt w:val="decimal"/>
      <w:pStyle w:val="SchedulePartHeading6"/>
      <w:lvlText w:val="(%7)"/>
      <w:lvlJc w:val="left"/>
      <w:pPr>
        <w:tabs>
          <w:tab w:val="num" w:pos="3600"/>
        </w:tabs>
        <w:ind w:left="3600" w:hanging="72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7">
    <w:nsid w:val="68F3094C"/>
    <w:multiLevelType w:val="multilevel"/>
    <w:tmpl w:val="52200C1E"/>
    <w:lvl w:ilvl="0">
      <w:start w:val="1"/>
      <w:numFmt w:val="upperLetter"/>
      <w:suff w:val="nothing"/>
      <w:lvlText w:val="Exhibit %1"/>
      <w:lvlJc w:val="left"/>
      <w:pPr>
        <w:ind w:left="315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8">
    <w:nsid w:val="7C1514C3"/>
    <w:multiLevelType w:val="multilevel"/>
    <w:tmpl w:val="B4BC3FF0"/>
    <w:name w:val="8bc0a704-4eb1-4c06-ac34-c8b75637a906"/>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29">
    <w:nsid w:val="7FAB254E"/>
    <w:multiLevelType w:val="multilevel"/>
    <w:tmpl w:val="A1862168"/>
    <w:lvl w:ilvl="0">
      <w:start w:val="1"/>
      <w:numFmt w:val="none"/>
      <w:pStyle w:val="TableNum1"/>
      <w:suff w:val="nothing"/>
      <w:lvlJc w:val="left"/>
      <w:pPr>
        <w:ind w:left="0" w:firstLine="0"/>
      </w:pPr>
      <w:rPr>
        <w:rFonts w:hint="default"/>
      </w:rPr>
    </w:lvl>
    <w:lvl w:ilvl="1">
      <w:start w:val="1"/>
      <w:numFmt w:val="decimal"/>
      <w:pStyle w:val="TableNum2"/>
      <w:lvlText w:val="%2."/>
      <w:lvlJc w:val="left"/>
      <w:pPr>
        <w:tabs>
          <w:tab w:val="num" w:pos="360"/>
        </w:tabs>
        <w:ind w:left="360" w:hanging="360"/>
      </w:pPr>
      <w:rPr>
        <w:rFonts w:hint="default"/>
      </w:rPr>
    </w:lvl>
    <w:lvl w:ilvl="2">
      <w:start w:val="1"/>
      <w:numFmt w:val="lowerLetter"/>
      <w:pStyle w:val="TableNum3"/>
      <w:lvlText w:val="(%3)"/>
      <w:lvlJc w:val="left"/>
      <w:pPr>
        <w:tabs>
          <w:tab w:val="num" w:pos="720"/>
        </w:tabs>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7977360">
    <w:abstractNumId w:val="19"/>
  </w:num>
  <w:num w:numId="2" w16cid:durableId="926156240">
    <w:abstractNumId w:val="18"/>
  </w:num>
  <w:num w:numId="3" w16cid:durableId="616331696">
    <w:abstractNumId w:val="16"/>
  </w:num>
  <w:num w:numId="4" w16cid:durableId="914359479">
    <w:abstractNumId w:val="24"/>
  </w:num>
  <w:num w:numId="5" w16cid:durableId="634532338">
    <w:abstractNumId w:val="6"/>
  </w:num>
  <w:num w:numId="6" w16cid:durableId="96944333">
    <w:abstractNumId w:val="10"/>
  </w:num>
  <w:num w:numId="7" w16cid:durableId="1115756897">
    <w:abstractNumId w:val="15"/>
  </w:num>
  <w:num w:numId="8" w16cid:durableId="510412020">
    <w:abstractNumId w:val="26"/>
  </w:num>
  <w:num w:numId="9" w16cid:durableId="307783413">
    <w:abstractNumId w:val="22"/>
  </w:num>
  <w:num w:numId="10" w16cid:durableId="603419036">
    <w:abstractNumId w:val="5"/>
  </w:num>
  <w:num w:numId="11" w16cid:durableId="441002192">
    <w:abstractNumId w:val="29"/>
  </w:num>
  <w:num w:numId="12" w16cid:durableId="2070613883">
    <w:abstractNumId w:val="25"/>
  </w:num>
  <w:num w:numId="13" w16cid:durableId="1852985623">
    <w:abstractNumId w:val="12"/>
  </w:num>
  <w:num w:numId="14" w16cid:durableId="210072578">
    <w:abstractNumId w:val="21"/>
  </w:num>
  <w:num w:numId="15" w16cid:durableId="262298397">
    <w:abstractNumId w:val="14"/>
  </w:num>
  <w:num w:numId="16" w16cid:durableId="1869177861">
    <w:abstractNumId w:val="7"/>
  </w:num>
  <w:num w:numId="17" w16cid:durableId="495072060">
    <w:abstractNumId w:val="2"/>
  </w:num>
  <w:num w:numId="18" w16cid:durableId="776683473">
    <w:abstractNumId w:val="17"/>
  </w:num>
  <w:num w:numId="19" w16cid:durableId="2064331834">
    <w:abstractNumId w:val="3"/>
  </w:num>
  <w:num w:numId="20" w16cid:durableId="811287118">
    <w:abstractNumId w:val="24"/>
  </w:num>
  <w:num w:numId="21" w16cid:durableId="1455907537">
    <w:abstractNumId w:val="24"/>
  </w:num>
  <w:num w:numId="22" w16cid:durableId="1202741523">
    <w:abstractNumId w:val="24"/>
  </w:num>
  <w:num w:numId="23" w16cid:durableId="1686860222">
    <w:abstractNumId w:val="20"/>
  </w:num>
  <w:num w:numId="24" w16cid:durableId="1392575750">
    <w:abstractNumId w:val="1"/>
  </w:num>
  <w:num w:numId="25" w16cid:durableId="1295602988">
    <w:abstractNumId w:val="24"/>
  </w:num>
  <w:num w:numId="26" w16cid:durableId="1290748638">
    <w:abstractNumId w:val="24"/>
  </w:num>
  <w:num w:numId="27" w16cid:durableId="1267079563">
    <w:abstractNumId w:val="24"/>
  </w:num>
  <w:num w:numId="28" w16cid:durableId="71709274">
    <w:abstractNumId w:val="24"/>
  </w:num>
  <w:num w:numId="29" w16cid:durableId="950554433">
    <w:abstractNumId w:val="24"/>
  </w:num>
  <w:num w:numId="30" w16cid:durableId="1571619564">
    <w:abstractNumId w:val="24"/>
  </w:num>
  <w:num w:numId="31" w16cid:durableId="1372072129">
    <w:abstractNumId w:val="24"/>
  </w:num>
  <w:num w:numId="32" w16cid:durableId="1581062857">
    <w:abstractNumId w:val="24"/>
  </w:num>
  <w:num w:numId="33" w16cid:durableId="1268469469">
    <w:abstractNumId w:val="27"/>
  </w:num>
  <w:num w:numId="34" w16cid:durableId="1549419253">
    <w:abstractNumId w:val="13"/>
  </w:num>
  <w:num w:numId="35" w16cid:durableId="18693650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oNotTrackFormatting/>
  <w:styleLockQFSet/>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03"/>
    <w:rsid w:val="000002ED"/>
    <w:rsid w:val="000003A8"/>
    <w:rsid w:val="000005B0"/>
    <w:rsid w:val="00000793"/>
    <w:rsid w:val="00003659"/>
    <w:rsid w:val="00003D5A"/>
    <w:rsid w:val="000056E3"/>
    <w:rsid w:val="00006A69"/>
    <w:rsid w:val="00006B46"/>
    <w:rsid w:val="00006EAA"/>
    <w:rsid w:val="00007301"/>
    <w:rsid w:val="000123B7"/>
    <w:rsid w:val="000129E3"/>
    <w:rsid w:val="00012C8E"/>
    <w:rsid w:val="00012D98"/>
    <w:rsid w:val="00012DCE"/>
    <w:rsid w:val="00013549"/>
    <w:rsid w:val="00014680"/>
    <w:rsid w:val="00014BA9"/>
    <w:rsid w:val="00015131"/>
    <w:rsid w:val="000151E6"/>
    <w:rsid w:val="000154DF"/>
    <w:rsid w:val="00015E0C"/>
    <w:rsid w:val="000166FC"/>
    <w:rsid w:val="000205EE"/>
    <w:rsid w:val="00020A6E"/>
    <w:rsid w:val="0002180D"/>
    <w:rsid w:val="00021BE5"/>
    <w:rsid w:val="00022330"/>
    <w:rsid w:val="00022881"/>
    <w:rsid w:val="0002310D"/>
    <w:rsid w:val="000231D3"/>
    <w:rsid w:val="00023395"/>
    <w:rsid w:val="000254A0"/>
    <w:rsid w:val="0002713D"/>
    <w:rsid w:val="00027611"/>
    <w:rsid w:val="00027E1D"/>
    <w:rsid w:val="00027E85"/>
    <w:rsid w:val="00030448"/>
    <w:rsid w:val="00030D3C"/>
    <w:rsid w:val="00031151"/>
    <w:rsid w:val="00032C11"/>
    <w:rsid w:val="00032E94"/>
    <w:rsid w:val="0003558B"/>
    <w:rsid w:val="0004050F"/>
    <w:rsid w:val="00040F90"/>
    <w:rsid w:val="0004313D"/>
    <w:rsid w:val="00044189"/>
    <w:rsid w:val="00044396"/>
    <w:rsid w:val="00044999"/>
    <w:rsid w:val="00045115"/>
    <w:rsid w:val="0004526B"/>
    <w:rsid w:val="00045452"/>
    <w:rsid w:val="00045A71"/>
    <w:rsid w:val="00045FE6"/>
    <w:rsid w:val="000463C5"/>
    <w:rsid w:val="00047748"/>
    <w:rsid w:val="000505DF"/>
    <w:rsid w:val="000509F4"/>
    <w:rsid w:val="00051BA2"/>
    <w:rsid w:val="00052C0D"/>
    <w:rsid w:val="00052E58"/>
    <w:rsid w:val="00053906"/>
    <w:rsid w:val="000546E4"/>
    <w:rsid w:val="000548C8"/>
    <w:rsid w:val="00054A22"/>
    <w:rsid w:val="00056095"/>
    <w:rsid w:val="00056B40"/>
    <w:rsid w:val="000573CB"/>
    <w:rsid w:val="0006039C"/>
    <w:rsid w:val="00060837"/>
    <w:rsid w:val="000611CC"/>
    <w:rsid w:val="00061734"/>
    <w:rsid w:val="000617EA"/>
    <w:rsid w:val="000618ED"/>
    <w:rsid w:val="00061F7F"/>
    <w:rsid w:val="00062068"/>
    <w:rsid w:val="000635C4"/>
    <w:rsid w:val="0006378A"/>
    <w:rsid w:val="00063F1D"/>
    <w:rsid w:val="00064786"/>
    <w:rsid w:val="0006555B"/>
    <w:rsid w:val="0006654A"/>
    <w:rsid w:val="00066F55"/>
    <w:rsid w:val="00067C30"/>
    <w:rsid w:val="00070519"/>
    <w:rsid w:val="00070DA4"/>
    <w:rsid w:val="000714C8"/>
    <w:rsid w:val="000720A1"/>
    <w:rsid w:val="000721AB"/>
    <w:rsid w:val="0007342F"/>
    <w:rsid w:val="0007469F"/>
    <w:rsid w:val="000747FC"/>
    <w:rsid w:val="0007628B"/>
    <w:rsid w:val="00076344"/>
    <w:rsid w:val="00077096"/>
    <w:rsid w:val="00077E7B"/>
    <w:rsid w:val="00080959"/>
    <w:rsid w:val="00081FC2"/>
    <w:rsid w:val="0008216B"/>
    <w:rsid w:val="00082295"/>
    <w:rsid w:val="000826C0"/>
    <w:rsid w:val="00083D73"/>
    <w:rsid w:val="00084290"/>
    <w:rsid w:val="000848A7"/>
    <w:rsid w:val="00084BB4"/>
    <w:rsid w:val="00084D4B"/>
    <w:rsid w:val="000850C1"/>
    <w:rsid w:val="00086261"/>
    <w:rsid w:val="00086666"/>
    <w:rsid w:val="000875A2"/>
    <w:rsid w:val="000879ED"/>
    <w:rsid w:val="00090B9F"/>
    <w:rsid w:val="000915B5"/>
    <w:rsid w:val="000916F1"/>
    <w:rsid w:val="00091B47"/>
    <w:rsid w:val="000937F6"/>
    <w:rsid w:val="00094B80"/>
    <w:rsid w:val="00096B6A"/>
    <w:rsid w:val="00096C80"/>
    <w:rsid w:val="000A240E"/>
    <w:rsid w:val="000A271B"/>
    <w:rsid w:val="000A3A51"/>
    <w:rsid w:val="000A3A57"/>
    <w:rsid w:val="000A43A4"/>
    <w:rsid w:val="000A5FC0"/>
    <w:rsid w:val="000A628E"/>
    <w:rsid w:val="000A6F66"/>
    <w:rsid w:val="000B042E"/>
    <w:rsid w:val="000B07DB"/>
    <w:rsid w:val="000B0B53"/>
    <w:rsid w:val="000B13AF"/>
    <w:rsid w:val="000B1A75"/>
    <w:rsid w:val="000B20FE"/>
    <w:rsid w:val="000B5C0F"/>
    <w:rsid w:val="000B6100"/>
    <w:rsid w:val="000B7092"/>
    <w:rsid w:val="000B73C4"/>
    <w:rsid w:val="000B74D5"/>
    <w:rsid w:val="000C1935"/>
    <w:rsid w:val="000C1AF2"/>
    <w:rsid w:val="000C25D9"/>
    <w:rsid w:val="000C319A"/>
    <w:rsid w:val="000C3633"/>
    <w:rsid w:val="000C3EF8"/>
    <w:rsid w:val="000C45DF"/>
    <w:rsid w:val="000C4B4D"/>
    <w:rsid w:val="000C4CFF"/>
    <w:rsid w:val="000C6C3E"/>
    <w:rsid w:val="000C6EFC"/>
    <w:rsid w:val="000C7ACE"/>
    <w:rsid w:val="000C7C3B"/>
    <w:rsid w:val="000C7C43"/>
    <w:rsid w:val="000C7FA8"/>
    <w:rsid w:val="000D01CF"/>
    <w:rsid w:val="000D08DA"/>
    <w:rsid w:val="000D1DBD"/>
    <w:rsid w:val="000D2216"/>
    <w:rsid w:val="000D2960"/>
    <w:rsid w:val="000D516F"/>
    <w:rsid w:val="000D522E"/>
    <w:rsid w:val="000D5BF1"/>
    <w:rsid w:val="000D6610"/>
    <w:rsid w:val="000D6972"/>
    <w:rsid w:val="000D782E"/>
    <w:rsid w:val="000E14C9"/>
    <w:rsid w:val="000E1A4A"/>
    <w:rsid w:val="000E22C7"/>
    <w:rsid w:val="000E2AF4"/>
    <w:rsid w:val="000E4C21"/>
    <w:rsid w:val="000E544C"/>
    <w:rsid w:val="000E5B6E"/>
    <w:rsid w:val="000E5B8D"/>
    <w:rsid w:val="000E60B4"/>
    <w:rsid w:val="000E680F"/>
    <w:rsid w:val="000E7A75"/>
    <w:rsid w:val="000F0BF9"/>
    <w:rsid w:val="000F1008"/>
    <w:rsid w:val="000F2684"/>
    <w:rsid w:val="000F29B0"/>
    <w:rsid w:val="000F30D9"/>
    <w:rsid w:val="000F3B26"/>
    <w:rsid w:val="000F3C6E"/>
    <w:rsid w:val="000F4C1F"/>
    <w:rsid w:val="000F5317"/>
    <w:rsid w:val="000F577F"/>
    <w:rsid w:val="000F6567"/>
    <w:rsid w:val="000F6A28"/>
    <w:rsid w:val="000F6BF6"/>
    <w:rsid w:val="000F7867"/>
    <w:rsid w:val="000F7F11"/>
    <w:rsid w:val="00100B61"/>
    <w:rsid w:val="00101470"/>
    <w:rsid w:val="001028E7"/>
    <w:rsid w:val="00102C1D"/>
    <w:rsid w:val="00102E0D"/>
    <w:rsid w:val="00103EF4"/>
    <w:rsid w:val="00105EFD"/>
    <w:rsid w:val="00105F87"/>
    <w:rsid w:val="00106110"/>
    <w:rsid w:val="00106203"/>
    <w:rsid w:val="001077A0"/>
    <w:rsid w:val="0010792D"/>
    <w:rsid w:val="00107BFE"/>
    <w:rsid w:val="00107FC9"/>
    <w:rsid w:val="00110792"/>
    <w:rsid w:val="00110AE4"/>
    <w:rsid w:val="001115D5"/>
    <w:rsid w:val="00111954"/>
    <w:rsid w:val="00111B2E"/>
    <w:rsid w:val="001121D9"/>
    <w:rsid w:val="00112278"/>
    <w:rsid w:val="00112E92"/>
    <w:rsid w:val="001134BA"/>
    <w:rsid w:val="001165A2"/>
    <w:rsid w:val="00116614"/>
    <w:rsid w:val="00116786"/>
    <w:rsid w:val="00117242"/>
    <w:rsid w:val="00117681"/>
    <w:rsid w:val="00117721"/>
    <w:rsid w:val="00120686"/>
    <w:rsid w:val="0012069E"/>
    <w:rsid w:val="00120D14"/>
    <w:rsid w:val="0012100D"/>
    <w:rsid w:val="00121083"/>
    <w:rsid w:val="00121B0E"/>
    <w:rsid w:val="00122AF6"/>
    <w:rsid w:val="00125931"/>
    <w:rsid w:val="00125CDA"/>
    <w:rsid w:val="001278CF"/>
    <w:rsid w:val="00127CB8"/>
    <w:rsid w:val="00130250"/>
    <w:rsid w:val="00130550"/>
    <w:rsid w:val="00130B6E"/>
    <w:rsid w:val="001319EE"/>
    <w:rsid w:val="00132877"/>
    <w:rsid w:val="00133930"/>
    <w:rsid w:val="00133D62"/>
    <w:rsid w:val="001343FC"/>
    <w:rsid w:val="00135500"/>
    <w:rsid w:val="00135898"/>
    <w:rsid w:val="00135DAD"/>
    <w:rsid w:val="001364E4"/>
    <w:rsid w:val="001400CA"/>
    <w:rsid w:val="00140167"/>
    <w:rsid w:val="00140177"/>
    <w:rsid w:val="00142DB0"/>
    <w:rsid w:val="001430DF"/>
    <w:rsid w:val="00143747"/>
    <w:rsid w:val="00144306"/>
    <w:rsid w:val="00144466"/>
    <w:rsid w:val="001445FC"/>
    <w:rsid w:val="00144732"/>
    <w:rsid w:val="00144E61"/>
    <w:rsid w:val="00147184"/>
    <w:rsid w:val="00147665"/>
    <w:rsid w:val="00150C97"/>
    <w:rsid w:val="00151975"/>
    <w:rsid w:val="001521C9"/>
    <w:rsid w:val="00152862"/>
    <w:rsid w:val="00152AB3"/>
    <w:rsid w:val="00152EB4"/>
    <w:rsid w:val="00153EEB"/>
    <w:rsid w:val="001541EF"/>
    <w:rsid w:val="00154A4B"/>
    <w:rsid w:val="001572D6"/>
    <w:rsid w:val="00157318"/>
    <w:rsid w:val="001573E9"/>
    <w:rsid w:val="00157448"/>
    <w:rsid w:val="001578F7"/>
    <w:rsid w:val="00157A47"/>
    <w:rsid w:val="00161278"/>
    <w:rsid w:val="001618C0"/>
    <w:rsid w:val="00161B6B"/>
    <w:rsid w:val="00161F82"/>
    <w:rsid w:val="0016218B"/>
    <w:rsid w:val="00162322"/>
    <w:rsid w:val="0016249F"/>
    <w:rsid w:val="00162530"/>
    <w:rsid w:val="00162B00"/>
    <w:rsid w:val="00162F43"/>
    <w:rsid w:val="00163321"/>
    <w:rsid w:val="00164298"/>
    <w:rsid w:val="00164344"/>
    <w:rsid w:val="001643DA"/>
    <w:rsid w:val="00164AE9"/>
    <w:rsid w:val="0016558B"/>
    <w:rsid w:val="00165A95"/>
    <w:rsid w:val="00166B87"/>
    <w:rsid w:val="0016701B"/>
    <w:rsid w:val="00167C2D"/>
    <w:rsid w:val="00167D0A"/>
    <w:rsid w:val="001703C5"/>
    <w:rsid w:val="0017051D"/>
    <w:rsid w:val="001707D8"/>
    <w:rsid w:val="0017143F"/>
    <w:rsid w:val="001714DC"/>
    <w:rsid w:val="00171875"/>
    <w:rsid w:val="00174903"/>
    <w:rsid w:val="00174DE0"/>
    <w:rsid w:val="00177495"/>
    <w:rsid w:val="00177AAB"/>
    <w:rsid w:val="00182125"/>
    <w:rsid w:val="001829D7"/>
    <w:rsid w:val="00182DEB"/>
    <w:rsid w:val="00183189"/>
    <w:rsid w:val="0018321A"/>
    <w:rsid w:val="00183375"/>
    <w:rsid w:val="001838A2"/>
    <w:rsid w:val="001842A8"/>
    <w:rsid w:val="00184E6C"/>
    <w:rsid w:val="00187023"/>
    <w:rsid w:val="0018729B"/>
    <w:rsid w:val="001900D5"/>
    <w:rsid w:val="0019202E"/>
    <w:rsid w:val="00192C74"/>
    <w:rsid w:val="0019337A"/>
    <w:rsid w:val="001942CB"/>
    <w:rsid w:val="001944E2"/>
    <w:rsid w:val="0019467B"/>
    <w:rsid w:val="00196CF4"/>
    <w:rsid w:val="001A02C5"/>
    <w:rsid w:val="001A0D40"/>
    <w:rsid w:val="001A0EB3"/>
    <w:rsid w:val="001A1F76"/>
    <w:rsid w:val="001A2106"/>
    <w:rsid w:val="001A33F4"/>
    <w:rsid w:val="001A34B4"/>
    <w:rsid w:val="001A4A04"/>
    <w:rsid w:val="001A4C08"/>
    <w:rsid w:val="001A6549"/>
    <w:rsid w:val="001B0276"/>
    <w:rsid w:val="001B03FE"/>
    <w:rsid w:val="001B07A3"/>
    <w:rsid w:val="001B1AF9"/>
    <w:rsid w:val="001B3778"/>
    <w:rsid w:val="001B3B23"/>
    <w:rsid w:val="001B3D5C"/>
    <w:rsid w:val="001B5090"/>
    <w:rsid w:val="001B5256"/>
    <w:rsid w:val="001B54D1"/>
    <w:rsid w:val="001B5A86"/>
    <w:rsid w:val="001B64FF"/>
    <w:rsid w:val="001B6796"/>
    <w:rsid w:val="001B7461"/>
    <w:rsid w:val="001B75E2"/>
    <w:rsid w:val="001C0DE4"/>
    <w:rsid w:val="001C0E3D"/>
    <w:rsid w:val="001C1E4A"/>
    <w:rsid w:val="001C21B1"/>
    <w:rsid w:val="001C345C"/>
    <w:rsid w:val="001C406E"/>
    <w:rsid w:val="001C455B"/>
    <w:rsid w:val="001C4B78"/>
    <w:rsid w:val="001C5107"/>
    <w:rsid w:val="001C59B0"/>
    <w:rsid w:val="001C5D3C"/>
    <w:rsid w:val="001C6021"/>
    <w:rsid w:val="001C63DF"/>
    <w:rsid w:val="001C672E"/>
    <w:rsid w:val="001C6B0D"/>
    <w:rsid w:val="001C6B2B"/>
    <w:rsid w:val="001C6C9E"/>
    <w:rsid w:val="001C737A"/>
    <w:rsid w:val="001C76D4"/>
    <w:rsid w:val="001C7EEA"/>
    <w:rsid w:val="001D020B"/>
    <w:rsid w:val="001D0226"/>
    <w:rsid w:val="001D07B1"/>
    <w:rsid w:val="001D07F0"/>
    <w:rsid w:val="001D1D8A"/>
    <w:rsid w:val="001D3358"/>
    <w:rsid w:val="001D33A1"/>
    <w:rsid w:val="001D4DD6"/>
    <w:rsid w:val="001D4EDA"/>
    <w:rsid w:val="001D5ACC"/>
    <w:rsid w:val="001D6963"/>
    <w:rsid w:val="001D6ED8"/>
    <w:rsid w:val="001D708B"/>
    <w:rsid w:val="001D70F7"/>
    <w:rsid w:val="001D72AB"/>
    <w:rsid w:val="001D7E54"/>
    <w:rsid w:val="001E006D"/>
    <w:rsid w:val="001E3329"/>
    <w:rsid w:val="001E37F0"/>
    <w:rsid w:val="001E3C00"/>
    <w:rsid w:val="001E56C1"/>
    <w:rsid w:val="001E5894"/>
    <w:rsid w:val="001E66AD"/>
    <w:rsid w:val="001E686F"/>
    <w:rsid w:val="001E75EB"/>
    <w:rsid w:val="001E7847"/>
    <w:rsid w:val="001F080A"/>
    <w:rsid w:val="001F0BF8"/>
    <w:rsid w:val="001F15BB"/>
    <w:rsid w:val="001F1F1C"/>
    <w:rsid w:val="001F2209"/>
    <w:rsid w:val="001F4227"/>
    <w:rsid w:val="001F43A3"/>
    <w:rsid w:val="001F47E7"/>
    <w:rsid w:val="001F5306"/>
    <w:rsid w:val="001F64A8"/>
    <w:rsid w:val="002007CC"/>
    <w:rsid w:val="00200E90"/>
    <w:rsid w:val="00201AE4"/>
    <w:rsid w:val="00201DEF"/>
    <w:rsid w:val="002020B8"/>
    <w:rsid w:val="00203748"/>
    <w:rsid w:val="00204C63"/>
    <w:rsid w:val="002050DE"/>
    <w:rsid w:val="00205ABD"/>
    <w:rsid w:val="002061BA"/>
    <w:rsid w:val="0020627A"/>
    <w:rsid w:val="0020645F"/>
    <w:rsid w:val="00211B04"/>
    <w:rsid w:val="0021241F"/>
    <w:rsid w:val="00213174"/>
    <w:rsid w:val="00213C3C"/>
    <w:rsid w:val="0021415E"/>
    <w:rsid w:val="00215298"/>
    <w:rsid w:val="00215567"/>
    <w:rsid w:val="00215568"/>
    <w:rsid w:val="002169C9"/>
    <w:rsid w:val="00217DE2"/>
    <w:rsid w:val="00221812"/>
    <w:rsid w:val="00222136"/>
    <w:rsid w:val="00223E4C"/>
    <w:rsid w:val="00224076"/>
    <w:rsid w:val="002242D2"/>
    <w:rsid w:val="002243E9"/>
    <w:rsid w:val="00224405"/>
    <w:rsid w:val="0022549A"/>
    <w:rsid w:val="002256C8"/>
    <w:rsid w:val="00225BCE"/>
    <w:rsid w:val="002262AE"/>
    <w:rsid w:val="00226923"/>
    <w:rsid w:val="00226AB6"/>
    <w:rsid w:val="00226D7F"/>
    <w:rsid w:val="00230018"/>
    <w:rsid w:val="002306AF"/>
    <w:rsid w:val="0023114D"/>
    <w:rsid w:val="0023182C"/>
    <w:rsid w:val="00231D0D"/>
    <w:rsid w:val="00232F78"/>
    <w:rsid w:val="002333EB"/>
    <w:rsid w:val="00233790"/>
    <w:rsid w:val="002340FF"/>
    <w:rsid w:val="00236463"/>
    <w:rsid w:val="00236507"/>
    <w:rsid w:val="002366B4"/>
    <w:rsid w:val="00236707"/>
    <w:rsid w:val="00236CCE"/>
    <w:rsid w:val="002371B0"/>
    <w:rsid w:val="002375E1"/>
    <w:rsid w:val="00237C00"/>
    <w:rsid w:val="00241F7C"/>
    <w:rsid w:val="00242A49"/>
    <w:rsid w:val="0024497C"/>
    <w:rsid w:val="002453BF"/>
    <w:rsid w:val="00245864"/>
    <w:rsid w:val="00245CC6"/>
    <w:rsid w:val="002462DA"/>
    <w:rsid w:val="00250927"/>
    <w:rsid w:val="00250F99"/>
    <w:rsid w:val="002514CB"/>
    <w:rsid w:val="00252007"/>
    <w:rsid w:val="002521C3"/>
    <w:rsid w:val="002532EE"/>
    <w:rsid w:val="00253526"/>
    <w:rsid w:val="002539B9"/>
    <w:rsid w:val="002552D8"/>
    <w:rsid w:val="00255408"/>
    <w:rsid w:val="002561D0"/>
    <w:rsid w:val="00260D63"/>
    <w:rsid w:val="00262D26"/>
    <w:rsid w:val="00263275"/>
    <w:rsid w:val="002640CF"/>
    <w:rsid w:val="00264F76"/>
    <w:rsid w:val="00265158"/>
    <w:rsid w:val="00265E03"/>
    <w:rsid w:val="00265E79"/>
    <w:rsid w:val="00266053"/>
    <w:rsid w:val="00267196"/>
    <w:rsid w:val="002706B9"/>
    <w:rsid w:val="00271490"/>
    <w:rsid w:val="00271CDF"/>
    <w:rsid w:val="00274860"/>
    <w:rsid w:val="00274EDC"/>
    <w:rsid w:val="00275687"/>
    <w:rsid w:val="00276A33"/>
    <w:rsid w:val="002771C0"/>
    <w:rsid w:val="0028011E"/>
    <w:rsid w:val="0028059D"/>
    <w:rsid w:val="002818F7"/>
    <w:rsid w:val="00282626"/>
    <w:rsid w:val="00282734"/>
    <w:rsid w:val="0028280C"/>
    <w:rsid w:val="00282A1C"/>
    <w:rsid w:val="00282ED0"/>
    <w:rsid w:val="002835FB"/>
    <w:rsid w:val="002836CA"/>
    <w:rsid w:val="00283989"/>
    <w:rsid w:val="00284CFF"/>
    <w:rsid w:val="00284F8A"/>
    <w:rsid w:val="00285D26"/>
    <w:rsid w:val="00286CB1"/>
    <w:rsid w:val="002903AD"/>
    <w:rsid w:val="002915FB"/>
    <w:rsid w:val="0029327D"/>
    <w:rsid w:val="00294A60"/>
    <w:rsid w:val="002961DC"/>
    <w:rsid w:val="00296534"/>
    <w:rsid w:val="00296759"/>
    <w:rsid w:val="00296B9B"/>
    <w:rsid w:val="0029764E"/>
    <w:rsid w:val="002A0745"/>
    <w:rsid w:val="002A1F05"/>
    <w:rsid w:val="002A1F28"/>
    <w:rsid w:val="002A37BD"/>
    <w:rsid w:val="002A3C6D"/>
    <w:rsid w:val="002A3C6E"/>
    <w:rsid w:val="002A4C62"/>
    <w:rsid w:val="002A4FF8"/>
    <w:rsid w:val="002A501D"/>
    <w:rsid w:val="002A5DA3"/>
    <w:rsid w:val="002A7078"/>
    <w:rsid w:val="002B01E9"/>
    <w:rsid w:val="002B050B"/>
    <w:rsid w:val="002B1059"/>
    <w:rsid w:val="002B192F"/>
    <w:rsid w:val="002B1EA2"/>
    <w:rsid w:val="002B27BE"/>
    <w:rsid w:val="002B2D65"/>
    <w:rsid w:val="002B30B9"/>
    <w:rsid w:val="002B3300"/>
    <w:rsid w:val="002B3745"/>
    <w:rsid w:val="002B43CC"/>
    <w:rsid w:val="002B6B92"/>
    <w:rsid w:val="002B6BCE"/>
    <w:rsid w:val="002B736E"/>
    <w:rsid w:val="002B7DE2"/>
    <w:rsid w:val="002B7F8B"/>
    <w:rsid w:val="002C0983"/>
    <w:rsid w:val="002C1596"/>
    <w:rsid w:val="002C171E"/>
    <w:rsid w:val="002C225A"/>
    <w:rsid w:val="002C2951"/>
    <w:rsid w:val="002C3811"/>
    <w:rsid w:val="002C3A4B"/>
    <w:rsid w:val="002C40DF"/>
    <w:rsid w:val="002C42E5"/>
    <w:rsid w:val="002C52E1"/>
    <w:rsid w:val="002C6692"/>
    <w:rsid w:val="002C6CA9"/>
    <w:rsid w:val="002C727F"/>
    <w:rsid w:val="002D1DC7"/>
    <w:rsid w:val="002D21D3"/>
    <w:rsid w:val="002D276D"/>
    <w:rsid w:val="002D3083"/>
    <w:rsid w:val="002D449D"/>
    <w:rsid w:val="002D6244"/>
    <w:rsid w:val="002D655E"/>
    <w:rsid w:val="002E044B"/>
    <w:rsid w:val="002E0A05"/>
    <w:rsid w:val="002E0ECB"/>
    <w:rsid w:val="002E1328"/>
    <w:rsid w:val="002E13F0"/>
    <w:rsid w:val="002E1B38"/>
    <w:rsid w:val="002E28BD"/>
    <w:rsid w:val="002E3082"/>
    <w:rsid w:val="002E322F"/>
    <w:rsid w:val="002E390A"/>
    <w:rsid w:val="002E39B3"/>
    <w:rsid w:val="002E4724"/>
    <w:rsid w:val="002E4F1A"/>
    <w:rsid w:val="002E50FF"/>
    <w:rsid w:val="002E5535"/>
    <w:rsid w:val="002E55FE"/>
    <w:rsid w:val="002E68F3"/>
    <w:rsid w:val="002E6FFB"/>
    <w:rsid w:val="002E71E1"/>
    <w:rsid w:val="002E773B"/>
    <w:rsid w:val="002F015D"/>
    <w:rsid w:val="002F04DB"/>
    <w:rsid w:val="002F0B91"/>
    <w:rsid w:val="002F10E9"/>
    <w:rsid w:val="002F3DB2"/>
    <w:rsid w:val="002F4C9C"/>
    <w:rsid w:val="002F56C2"/>
    <w:rsid w:val="002F648C"/>
    <w:rsid w:val="002F6EDC"/>
    <w:rsid w:val="002F7616"/>
    <w:rsid w:val="002F782B"/>
    <w:rsid w:val="003002BA"/>
    <w:rsid w:val="00300640"/>
    <w:rsid w:val="00301D62"/>
    <w:rsid w:val="003023FB"/>
    <w:rsid w:val="003025BC"/>
    <w:rsid w:val="00302BA9"/>
    <w:rsid w:val="00302C71"/>
    <w:rsid w:val="00302FA0"/>
    <w:rsid w:val="00304C79"/>
    <w:rsid w:val="003051D2"/>
    <w:rsid w:val="003062CA"/>
    <w:rsid w:val="003064EE"/>
    <w:rsid w:val="00310B94"/>
    <w:rsid w:val="0031148B"/>
    <w:rsid w:val="00312F0A"/>
    <w:rsid w:val="0031334D"/>
    <w:rsid w:val="00313401"/>
    <w:rsid w:val="0031364C"/>
    <w:rsid w:val="00313B46"/>
    <w:rsid w:val="00314130"/>
    <w:rsid w:val="00314B86"/>
    <w:rsid w:val="0031525A"/>
    <w:rsid w:val="0031677E"/>
    <w:rsid w:val="00316CC3"/>
    <w:rsid w:val="003209F4"/>
    <w:rsid w:val="003220A8"/>
    <w:rsid w:val="0032303D"/>
    <w:rsid w:val="00324CC2"/>
    <w:rsid w:val="00325CF9"/>
    <w:rsid w:val="003263F6"/>
    <w:rsid w:val="003264F2"/>
    <w:rsid w:val="003265EB"/>
    <w:rsid w:val="00330567"/>
    <w:rsid w:val="00330986"/>
    <w:rsid w:val="00330C10"/>
    <w:rsid w:val="0033214B"/>
    <w:rsid w:val="003321C7"/>
    <w:rsid w:val="0033336B"/>
    <w:rsid w:val="00333530"/>
    <w:rsid w:val="0033475F"/>
    <w:rsid w:val="00334C4B"/>
    <w:rsid w:val="00337DC0"/>
    <w:rsid w:val="00340F7B"/>
    <w:rsid w:val="00341FF8"/>
    <w:rsid w:val="003422B8"/>
    <w:rsid w:val="00343D29"/>
    <w:rsid w:val="00344A31"/>
    <w:rsid w:val="00345009"/>
    <w:rsid w:val="0034606C"/>
    <w:rsid w:val="003468F5"/>
    <w:rsid w:val="00346D15"/>
    <w:rsid w:val="00347031"/>
    <w:rsid w:val="003476B4"/>
    <w:rsid w:val="00347705"/>
    <w:rsid w:val="0034794A"/>
    <w:rsid w:val="00347A3F"/>
    <w:rsid w:val="00347FE7"/>
    <w:rsid w:val="0035085F"/>
    <w:rsid w:val="00350CF6"/>
    <w:rsid w:val="00351A45"/>
    <w:rsid w:val="00352AA6"/>
    <w:rsid w:val="00352BC1"/>
    <w:rsid w:val="00355402"/>
    <w:rsid w:val="00355B63"/>
    <w:rsid w:val="00356BA6"/>
    <w:rsid w:val="00357433"/>
    <w:rsid w:val="00360A04"/>
    <w:rsid w:val="00362F0D"/>
    <w:rsid w:val="003668F8"/>
    <w:rsid w:val="00366BB6"/>
    <w:rsid w:val="003677F9"/>
    <w:rsid w:val="00370984"/>
    <w:rsid w:val="0037099C"/>
    <w:rsid w:val="003712F8"/>
    <w:rsid w:val="00371A04"/>
    <w:rsid w:val="00372142"/>
    <w:rsid w:val="00373DD4"/>
    <w:rsid w:val="003741EE"/>
    <w:rsid w:val="00374CD6"/>
    <w:rsid w:val="00375402"/>
    <w:rsid w:val="003757E8"/>
    <w:rsid w:val="00375B47"/>
    <w:rsid w:val="00376F92"/>
    <w:rsid w:val="00377B08"/>
    <w:rsid w:val="00377E7C"/>
    <w:rsid w:val="00381D22"/>
    <w:rsid w:val="00382812"/>
    <w:rsid w:val="003829A3"/>
    <w:rsid w:val="00382D4D"/>
    <w:rsid w:val="00382FA2"/>
    <w:rsid w:val="00383569"/>
    <w:rsid w:val="003838BD"/>
    <w:rsid w:val="00383F44"/>
    <w:rsid w:val="00384D35"/>
    <w:rsid w:val="0038677E"/>
    <w:rsid w:val="00386976"/>
    <w:rsid w:val="0038771B"/>
    <w:rsid w:val="0039025B"/>
    <w:rsid w:val="00390480"/>
    <w:rsid w:val="003906C3"/>
    <w:rsid w:val="003906D8"/>
    <w:rsid w:val="003927C0"/>
    <w:rsid w:val="0039285C"/>
    <w:rsid w:val="00392C71"/>
    <w:rsid w:val="003931A9"/>
    <w:rsid w:val="00393AA7"/>
    <w:rsid w:val="003941BC"/>
    <w:rsid w:val="003959B7"/>
    <w:rsid w:val="00395E32"/>
    <w:rsid w:val="00395EC6"/>
    <w:rsid w:val="00396070"/>
    <w:rsid w:val="00396DF4"/>
    <w:rsid w:val="00397A30"/>
    <w:rsid w:val="003A038B"/>
    <w:rsid w:val="003A0398"/>
    <w:rsid w:val="003A098E"/>
    <w:rsid w:val="003A13F8"/>
    <w:rsid w:val="003A1D5D"/>
    <w:rsid w:val="003A2DD1"/>
    <w:rsid w:val="003A6288"/>
    <w:rsid w:val="003A67C9"/>
    <w:rsid w:val="003A75BD"/>
    <w:rsid w:val="003B0309"/>
    <w:rsid w:val="003B07F6"/>
    <w:rsid w:val="003B10E3"/>
    <w:rsid w:val="003B1B6B"/>
    <w:rsid w:val="003B1F88"/>
    <w:rsid w:val="003B31E4"/>
    <w:rsid w:val="003B3BBA"/>
    <w:rsid w:val="003B4098"/>
    <w:rsid w:val="003B4878"/>
    <w:rsid w:val="003B53CD"/>
    <w:rsid w:val="003B5409"/>
    <w:rsid w:val="003B5772"/>
    <w:rsid w:val="003B585E"/>
    <w:rsid w:val="003B638C"/>
    <w:rsid w:val="003B6489"/>
    <w:rsid w:val="003B64B1"/>
    <w:rsid w:val="003B75B8"/>
    <w:rsid w:val="003B7E49"/>
    <w:rsid w:val="003C082A"/>
    <w:rsid w:val="003C0838"/>
    <w:rsid w:val="003C1245"/>
    <w:rsid w:val="003C32DC"/>
    <w:rsid w:val="003C35A8"/>
    <w:rsid w:val="003C3AAB"/>
    <w:rsid w:val="003C55E6"/>
    <w:rsid w:val="003C5B44"/>
    <w:rsid w:val="003C6BF1"/>
    <w:rsid w:val="003C6CDA"/>
    <w:rsid w:val="003C6DC7"/>
    <w:rsid w:val="003C7247"/>
    <w:rsid w:val="003C733E"/>
    <w:rsid w:val="003C7C4A"/>
    <w:rsid w:val="003C7EC6"/>
    <w:rsid w:val="003D273F"/>
    <w:rsid w:val="003D276C"/>
    <w:rsid w:val="003D33D5"/>
    <w:rsid w:val="003D3B94"/>
    <w:rsid w:val="003D4EAC"/>
    <w:rsid w:val="003D54E0"/>
    <w:rsid w:val="003D555A"/>
    <w:rsid w:val="003D6F58"/>
    <w:rsid w:val="003D6FF4"/>
    <w:rsid w:val="003D7774"/>
    <w:rsid w:val="003D77C8"/>
    <w:rsid w:val="003E01D9"/>
    <w:rsid w:val="003E2E27"/>
    <w:rsid w:val="003E375B"/>
    <w:rsid w:val="003E3E8D"/>
    <w:rsid w:val="003E5094"/>
    <w:rsid w:val="003E705B"/>
    <w:rsid w:val="003E73AF"/>
    <w:rsid w:val="003E7E1A"/>
    <w:rsid w:val="003F0FFF"/>
    <w:rsid w:val="003F1C15"/>
    <w:rsid w:val="003F2526"/>
    <w:rsid w:val="003F4522"/>
    <w:rsid w:val="003F4707"/>
    <w:rsid w:val="003F5CEB"/>
    <w:rsid w:val="003F60CB"/>
    <w:rsid w:val="003F62C3"/>
    <w:rsid w:val="003F6BDA"/>
    <w:rsid w:val="003F6FD7"/>
    <w:rsid w:val="003F768F"/>
    <w:rsid w:val="00400ECB"/>
    <w:rsid w:val="00402328"/>
    <w:rsid w:val="004039F9"/>
    <w:rsid w:val="00403DE5"/>
    <w:rsid w:val="004041F3"/>
    <w:rsid w:val="00404864"/>
    <w:rsid w:val="00405905"/>
    <w:rsid w:val="004108D9"/>
    <w:rsid w:val="00410E96"/>
    <w:rsid w:val="00411DE5"/>
    <w:rsid w:val="00412DDA"/>
    <w:rsid w:val="00414D38"/>
    <w:rsid w:val="00415293"/>
    <w:rsid w:val="0041532B"/>
    <w:rsid w:val="00417DF7"/>
    <w:rsid w:val="004211D8"/>
    <w:rsid w:val="00421539"/>
    <w:rsid w:val="004215CF"/>
    <w:rsid w:val="0042161B"/>
    <w:rsid w:val="00421624"/>
    <w:rsid w:val="00421C30"/>
    <w:rsid w:val="00422DD3"/>
    <w:rsid w:val="00423391"/>
    <w:rsid w:val="00423F99"/>
    <w:rsid w:val="00424FFA"/>
    <w:rsid w:val="004250E1"/>
    <w:rsid w:val="004261E0"/>
    <w:rsid w:val="0042655E"/>
    <w:rsid w:val="0042691A"/>
    <w:rsid w:val="004307BB"/>
    <w:rsid w:val="00431439"/>
    <w:rsid w:val="004315B6"/>
    <w:rsid w:val="00432E01"/>
    <w:rsid w:val="00432F07"/>
    <w:rsid w:val="0043331A"/>
    <w:rsid w:val="004337D6"/>
    <w:rsid w:val="004340FB"/>
    <w:rsid w:val="0043448F"/>
    <w:rsid w:val="00434BA9"/>
    <w:rsid w:val="00434C53"/>
    <w:rsid w:val="00435EF8"/>
    <w:rsid w:val="00441291"/>
    <w:rsid w:val="004428DE"/>
    <w:rsid w:val="00442D0C"/>
    <w:rsid w:val="00443AE5"/>
    <w:rsid w:val="00445710"/>
    <w:rsid w:val="00445C23"/>
    <w:rsid w:val="00445D59"/>
    <w:rsid w:val="00446470"/>
    <w:rsid w:val="00446960"/>
    <w:rsid w:val="004470B7"/>
    <w:rsid w:val="004504D9"/>
    <w:rsid w:val="00450D22"/>
    <w:rsid w:val="004513A4"/>
    <w:rsid w:val="004513F7"/>
    <w:rsid w:val="00451809"/>
    <w:rsid w:val="00451E82"/>
    <w:rsid w:val="004526A5"/>
    <w:rsid w:val="0045362A"/>
    <w:rsid w:val="0045415C"/>
    <w:rsid w:val="00455585"/>
    <w:rsid w:val="0045566B"/>
    <w:rsid w:val="00455FD6"/>
    <w:rsid w:val="00456F59"/>
    <w:rsid w:val="0045770F"/>
    <w:rsid w:val="00457775"/>
    <w:rsid w:val="004606BD"/>
    <w:rsid w:val="0046132D"/>
    <w:rsid w:val="00462851"/>
    <w:rsid w:val="00462FEC"/>
    <w:rsid w:val="004636AE"/>
    <w:rsid w:val="00463819"/>
    <w:rsid w:val="00463DA5"/>
    <w:rsid w:val="00463E50"/>
    <w:rsid w:val="00463E8A"/>
    <w:rsid w:val="00464383"/>
    <w:rsid w:val="00465B45"/>
    <w:rsid w:val="004660E1"/>
    <w:rsid w:val="004673E2"/>
    <w:rsid w:val="00467651"/>
    <w:rsid w:val="004704A3"/>
    <w:rsid w:val="004707B3"/>
    <w:rsid w:val="0047084C"/>
    <w:rsid w:val="00470E69"/>
    <w:rsid w:val="0047126E"/>
    <w:rsid w:val="004712E6"/>
    <w:rsid w:val="004719DD"/>
    <w:rsid w:val="00471F4C"/>
    <w:rsid w:val="00472C79"/>
    <w:rsid w:val="00472D16"/>
    <w:rsid w:val="00472E53"/>
    <w:rsid w:val="0047325E"/>
    <w:rsid w:val="00473E2E"/>
    <w:rsid w:val="00474260"/>
    <w:rsid w:val="00475949"/>
    <w:rsid w:val="00475E5E"/>
    <w:rsid w:val="00476CC0"/>
    <w:rsid w:val="0047702F"/>
    <w:rsid w:val="004772A8"/>
    <w:rsid w:val="00477FC7"/>
    <w:rsid w:val="00480F57"/>
    <w:rsid w:val="00482517"/>
    <w:rsid w:val="00482F99"/>
    <w:rsid w:val="00483AD7"/>
    <w:rsid w:val="004842CE"/>
    <w:rsid w:val="00484342"/>
    <w:rsid w:val="00484DB6"/>
    <w:rsid w:val="004850C2"/>
    <w:rsid w:val="0048546B"/>
    <w:rsid w:val="00485A36"/>
    <w:rsid w:val="00485CE3"/>
    <w:rsid w:val="00485E36"/>
    <w:rsid w:val="004906FB"/>
    <w:rsid w:val="00490A0D"/>
    <w:rsid w:val="00492267"/>
    <w:rsid w:val="00492B14"/>
    <w:rsid w:val="004933F6"/>
    <w:rsid w:val="0049377A"/>
    <w:rsid w:val="00494325"/>
    <w:rsid w:val="004947F9"/>
    <w:rsid w:val="00494ECD"/>
    <w:rsid w:val="0049622B"/>
    <w:rsid w:val="004962A1"/>
    <w:rsid w:val="004967D0"/>
    <w:rsid w:val="004A0628"/>
    <w:rsid w:val="004A13EE"/>
    <w:rsid w:val="004A141C"/>
    <w:rsid w:val="004A1E89"/>
    <w:rsid w:val="004A2BD0"/>
    <w:rsid w:val="004A2CB7"/>
    <w:rsid w:val="004A2E36"/>
    <w:rsid w:val="004A2F96"/>
    <w:rsid w:val="004A3611"/>
    <w:rsid w:val="004A3EDC"/>
    <w:rsid w:val="004A459C"/>
    <w:rsid w:val="004A4917"/>
    <w:rsid w:val="004A59CD"/>
    <w:rsid w:val="004A5A87"/>
    <w:rsid w:val="004A5C11"/>
    <w:rsid w:val="004A5EA2"/>
    <w:rsid w:val="004A7BDB"/>
    <w:rsid w:val="004A7D48"/>
    <w:rsid w:val="004B0E26"/>
    <w:rsid w:val="004B16A9"/>
    <w:rsid w:val="004B1846"/>
    <w:rsid w:val="004B19BD"/>
    <w:rsid w:val="004B2906"/>
    <w:rsid w:val="004B314D"/>
    <w:rsid w:val="004B359A"/>
    <w:rsid w:val="004B3D24"/>
    <w:rsid w:val="004B52F8"/>
    <w:rsid w:val="004B61C2"/>
    <w:rsid w:val="004C07D1"/>
    <w:rsid w:val="004C0D69"/>
    <w:rsid w:val="004C4DB9"/>
    <w:rsid w:val="004C5668"/>
    <w:rsid w:val="004C5B38"/>
    <w:rsid w:val="004C5F30"/>
    <w:rsid w:val="004C68DE"/>
    <w:rsid w:val="004D02F4"/>
    <w:rsid w:val="004D1765"/>
    <w:rsid w:val="004D228C"/>
    <w:rsid w:val="004D2528"/>
    <w:rsid w:val="004D2E16"/>
    <w:rsid w:val="004D3098"/>
    <w:rsid w:val="004D48BB"/>
    <w:rsid w:val="004D4D3C"/>
    <w:rsid w:val="004D5D49"/>
    <w:rsid w:val="004D7C74"/>
    <w:rsid w:val="004E0277"/>
    <w:rsid w:val="004E09B2"/>
    <w:rsid w:val="004E0C1A"/>
    <w:rsid w:val="004E1BAC"/>
    <w:rsid w:val="004E1C82"/>
    <w:rsid w:val="004E27D8"/>
    <w:rsid w:val="004E3780"/>
    <w:rsid w:val="004E3E9D"/>
    <w:rsid w:val="004E60FF"/>
    <w:rsid w:val="004E6482"/>
    <w:rsid w:val="004E66C7"/>
    <w:rsid w:val="004F01BF"/>
    <w:rsid w:val="004F025D"/>
    <w:rsid w:val="004F1741"/>
    <w:rsid w:val="004F27FC"/>
    <w:rsid w:val="004F42FB"/>
    <w:rsid w:val="004F52BA"/>
    <w:rsid w:val="004F562C"/>
    <w:rsid w:val="00500A2D"/>
    <w:rsid w:val="00500E7C"/>
    <w:rsid w:val="005010B1"/>
    <w:rsid w:val="00501127"/>
    <w:rsid w:val="00501230"/>
    <w:rsid w:val="00501B1F"/>
    <w:rsid w:val="00502756"/>
    <w:rsid w:val="00503F10"/>
    <w:rsid w:val="0050461B"/>
    <w:rsid w:val="005046F3"/>
    <w:rsid w:val="00505950"/>
    <w:rsid w:val="00506979"/>
    <w:rsid w:val="005103E3"/>
    <w:rsid w:val="0051088C"/>
    <w:rsid w:val="0051089B"/>
    <w:rsid w:val="00511946"/>
    <w:rsid w:val="00511FA0"/>
    <w:rsid w:val="0051374F"/>
    <w:rsid w:val="00513878"/>
    <w:rsid w:val="00514392"/>
    <w:rsid w:val="00514A60"/>
    <w:rsid w:val="005150CC"/>
    <w:rsid w:val="005151C2"/>
    <w:rsid w:val="0052030D"/>
    <w:rsid w:val="005212EA"/>
    <w:rsid w:val="00521799"/>
    <w:rsid w:val="00523BBE"/>
    <w:rsid w:val="00524953"/>
    <w:rsid w:val="00525E62"/>
    <w:rsid w:val="00525F2B"/>
    <w:rsid w:val="0052601B"/>
    <w:rsid w:val="00526C87"/>
    <w:rsid w:val="00527326"/>
    <w:rsid w:val="0053054D"/>
    <w:rsid w:val="0053112F"/>
    <w:rsid w:val="00531149"/>
    <w:rsid w:val="00531B2A"/>
    <w:rsid w:val="0053254E"/>
    <w:rsid w:val="00532C1D"/>
    <w:rsid w:val="00534225"/>
    <w:rsid w:val="0053547C"/>
    <w:rsid w:val="00536E2D"/>
    <w:rsid w:val="00540028"/>
    <w:rsid w:val="005406CB"/>
    <w:rsid w:val="00540C4D"/>
    <w:rsid w:val="005411AD"/>
    <w:rsid w:val="0054151B"/>
    <w:rsid w:val="005437A2"/>
    <w:rsid w:val="005440BB"/>
    <w:rsid w:val="005453A0"/>
    <w:rsid w:val="0054556E"/>
    <w:rsid w:val="005504A8"/>
    <w:rsid w:val="005516AB"/>
    <w:rsid w:val="00551713"/>
    <w:rsid w:val="005539B3"/>
    <w:rsid w:val="00553FC2"/>
    <w:rsid w:val="00555228"/>
    <w:rsid w:val="005569A8"/>
    <w:rsid w:val="00556DA0"/>
    <w:rsid w:val="0055767F"/>
    <w:rsid w:val="00557785"/>
    <w:rsid w:val="00557E76"/>
    <w:rsid w:val="005607B3"/>
    <w:rsid w:val="0056123B"/>
    <w:rsid w:val="00562CE9"/>
    <w:rsid w:val="00562F81"/>
    <w:rsid w:val="00563128"/>
    <w:rsid w:val="0056396D"/>
    <w:rsid w:val="00563B54"/>
    <w:rsid w:val="00563CD1"/>
    <w:rsid w:val="00563FDB"/>
    <w:rsid w:val="00564BDE"/>
    <w:rsid w:val="00565C6A"/>
    <w:rsid w:val="0056668F"/>
    <w:rsid w:val="00567A4A"/>
    <w:rsid w:val="00567D71"/>
    <w:rsid w:val="00567FDF"/>
    <w:rsid w:val="00571A0D"/>
    <w:rsid w:val="00573F0E"/>
    <w:rsid w:val="0057400F"/>
    <w:rsid w:val="00574368"/>
    <w:rsid w:val="005746CE"/>
    <w:rsid w:val="00575E22"/>
    <w:rsid w:val="00576516"/>
    <w:rsid w:val="00576DC7"/>
    <w:rsid w:val="00576FAE"/>
    <w:rsid w:val="00577066"/>
    <w:rsid w:val="0057728D"/>
    <w:rsid w:val="00577DDC"/>
    <w:rsid w:val="005801CC"/>
    <w:rsid w:val="005803A7"/>
    <w:rsid w:val="00580735"/>
    <w:rsid w:val="00581201"/>
    <w:rsid w:val="00581930"/>
    <w:rsid w:val="00581BD8"/>
    <w:rsid w:val="00581DF3"/>
    <w:rsid w:val="00582774"/>
    <w:rsid w:val="00582AB3"/>
    <w:rsid w:val="005831CC"/>
    <w:rsid w:val="005840B8"/>
    <w:rsid w:val="00584514"/>
    <w:rsid w:val="00586607"/>
    <w:rsid w:val="005876CE"/>
    <w:rsid w:val="00591E29"/>
    <w:rsid w:val="005931E2"/>
    <w:rsid w:val="00593D57"/>
    <w:rsid w:val="00594EC4"/>
    <w:rsid w:val="00594EF2"/>
    <w:rsid w:val="00597192"/>
    <w:rsid w:val="00597DDA"/>
    <w:rsid w:val="005A0F0A"/>
    <w:rsid w:val="005A14C3"/>
    <w:rsid w:val="005A2345"/>
    <w:rsid w:val="005A2607"/>
    <w:rsid w:val="005A2ED9"/>
    <w:rsid w:val="005A2F0B"/>
    <w:rsid w:val="005A3230"/>
    <w:rsid w:val="005A3AAA"/>
    <w:rsid w:val="005A4365"/>
    <w:rsid w:val="005A4F80"/>
    <w:rsid w:val="005A69D7"/>
    <w:rsid w:val="005A6CD4"/>
    <w:rsid w:val="005A73BC"/>
    <w:rsid w:val="005A7B7E"/>
    <w:rsid w:val="005B20EA"/>
    <w:rsid w:val="005B22B7"/>
    <w:rsid w:val="005B2519"/>
    <w:rsid w:val="005B2BBB"/>
    <w:rsid w:val="005B2F87"/>
    <w:rsid w:val="005B342E"/>
    <w:rsid w:val="005B39B4"/>
    <w:rsid w:val="005B4C41"/>
    <w:rsid w:val="005B4FA2"/>
    <w:rsid w:val="005B629D"/>
    <w:rsid w:val="005B67F1"/>
    <w:rsid w:val="005B7BEC"/>
    <w:rsid w:val="005C17C2"/>
    <w:rsid w:val="005C1C8B"/>
    <w:rsid w:val="005C1F2F"/>
    <w:rsid w:val="005C2A68"/>
    <w:rsid w:val="005C41A8"/>
    <w:rsid w:val="005C420B"/>
    <w:rsid w:val="005C4CB2"/>
    <w:rsid w:val="005C4EF6"/>
    <w:rsid w:val="005C5076"/>
    <w:rsid w:val="005C616D"/>
    <w:rsid w:val="005C6242"/>
    <w:rsid w:val="005C6585"/>
    <w:rsid w:val="005C6710"/>
    <w:rsid w:val="005D038F"/>
    <w:rsid w:val="005D06E9"/>
    <w:rsid w:val="005D130E"/>
    <w:rsid w:val="005D158B"/>
    <w:rsid w:val="005D1949"/>
    <w:rsid w:val="005D1E5D"/>
    <w:rsid w:val="005D1EAD"/>
    <w:rsid w:val="005D3191"/>
    <w:rsid w:val="005D3FE2"/>
    <w:rsid w:val="005D4799"/>
    <w:rsid w:val="005D4F8D"/>
    <w:rsid w:val="005D6C6E"/>
    <w:rsid w:val="005D753E"/>
    <w:rsid w:val="005D76DC"/>
    <w:rsid w:val="005D7CBC"/>
    <w:rsid w:val="005D7F29"/>
    <w:rsid w:val="005D7F67"/>
    <w:rsid w:val="005E00E8"/>
    <w:rsid w:val="005E0D79"/>
    <w:rsid w:val="005E31C4"/>
    <w:rsid w:val="005E4418"/>
    <w:rsid w:val="005E6022"/>
    <w:rsid w:val="005E6832"/>
    <w:rsid w:val="005E6C3B"/>
    <w:rsid w:val="005E7B0B"/>
    <w:rsid w:val="005E7D1A"/>
    <w:rsid w:val="005E7E8F"/>
    <w:rsid w:val="005F046E"/>
    <w:rsid w:val="005F11B4"/>
    <w:rsid w:val="005F11CA"/>
    <w:rsid w:val="005F1231"/>
    <w:rsid w:val="005F2316"/>
    <w:rsid w:val="005F428E"/>
    <w:rsid w:val="005F4D02"/>
    <w:rsid w:val="005F5AB2"/>
    <w:rsid w:val="005F65FE"/>
    <w:rsid w:val="005F6B20"/>
    <w:rsid w:val="005F7F0D"/>
    <w:rsid w:val="006018E5"/>
    <w:rsid w:val="00601BCA"/>
    <w:rsid w:val="00602591"/>
    <w:rsid w:val="006025B7"/>
    <w:rsid w:val="00602B6A"/>
    <w:rsid w:val="00604886"/>
    <w:rsid w:val="00604D24"/>
    <w:rsid w:val="00607313"/>
    <w:rsid w:val="006075E2"/>
    <w:rsid w:val="006076C1"/>
    <w:rsid w:val="00610C3C"/>
    <w:rsid w:val="00611D10"/>
    <w:rsid w:val="006126ED"/>
    <w:rsid w:val="00613AAC"/>
    <w:rsid w:val="00613B62"/>
    <w:rsid w:val="00614676"/>
    <w:rsid w:val="006158C3"/>
    <w:rsid w:val="0061686E"/>
    <w:rsid w:val="00616C9C"/>
    <w:rsid w:val="0061750F"/>
    <w:rsid w:val="00617C68"/>
    <w:rsid w:val="00617C9C"/>
    <w:rsid w:val="00617E0D"/>
    <w:rsid w:val="00620148"/>
    <w:rsid w:val="006213D7"/>
    <w:rsid w:val="00623399"/>
    <w:rsid w:val="00623898"/>
    <w:rsid w:val="006238EF"/>
    <w:rsid w:val="006240D8"/>
    <w:rsid w:val="00624684"/>
    <w:rsid w:val="0062637A"/>
    <w:rsid w:val="00626419"/>
    <w:rsid w:val="006265AA"/>
    <w:rsid w:val="0062698E"/>
    <w:rsid w:val="00626E8B"/>
    <w:rsid w:val="0062795D"/>
    <w:rsid w:val="006304EB"/>
    <w:rsid w:val="00631292"/>
    <w:rsid w:val="00631A54"/>
    <w:rsid w:val="00632994"/>
    <w:rsid w:val="00632E03"/>
    <w:rsid w:val="00633022"/>
    <w:rsid w:val="0063355B"/>
    <w:rsid w:val="006338B1"/>
    <w:rsid w:val="00633EF8"/>
    <w:rsid w:val="00635C48"/>
    <w:rsid w:val="006365D9"/>
    <w:rsid w:val="0063666A"/>
    <w:rsid w:val="00637F8E"/>
    <w:rsid w:val="00640288"/>
    <w:rsid w:val="00640510"/>
    <w:rsid w:val="00640E62"/>
    <w:rsid w:val="006412DD"/>
    <w:rsid w:val="006416C6"/>
    <w:rsid w:val="00642EB2"/>
    <w:rsid w:val="0064366C"/>
    <w:rsid w:val="00643CAC"/>
    <w:rsid w:val="00643E84"/>
    <w:rsid w:val="00644768"/>
    <w:rsid w:val="00646696"/>
    <w:rsid w:val="006471B3"/>
    <w:rsid w:val="006471F5"/>
    <w:rsid w:val="006475F8"/>
    <w:rsid w:val="006476B7"/>
    <w:rsid w:val="00650F97"/>
    <w:rsid w:val="006518E3"/>
    <w:rsid w:val="00651A7A"/>
    <w:rsid w:val="0065224D"/>
    <w:rsid w:val="00652BA3"/>
    <w:rsid w:val="00654159"/>
    <w:rsid w:val="00656F32"/>
    <w:rsid w:val="0065714C"/>
    <w:rsid w:val="0065725F"/>
    <w:rsid w:val="00657282"/>
    <w:rsid w:val="00657862"/>
    <w:rsid w:val="00657DA9"/>
    <w:rsid w:val="006610BA"/>
    <w:rsid w:val="0066178C"/>
    <w:rsid w:val="00661851"/>
    <w:rsid w:val="0066213E"/>
    <w:rsid w:val="00662B88"/>
    <w:rsid w:val="00663139"/>
    <w:rsid w:val="00666A19"/>
    <w:rsid w:val="00666D07"/>
    <w:rsid w:val="00666DF1"/>
    <w:rsid w:val="006679FA"/>
    <w:rsid w:val="00667B74"/>
    <w:rsid w:val="00667ED5"/>
    <w:rsid w:val="00670589"/>
    <w:rsid w:val="006705CA"/>
    <w:rsid w:val="00670D27"/>
    <w:rsid w:val="0067120F"/>
    <w:rsid w:val="0067136E"/>
    <w:rsid w:val="0067217E"/>
    <w:rsid w:val="0067257A"/>
    <w:rsid w:val="00672EAF"/>
    <w:rsid w:val="0067311E"/>
    <w:rsid w:val="0067422B"/>
    <w:rsid w:val="00675BD5"/>
    <w:rsid w:val="0067694B"/>
    <w:rsid w:val="00677C37"/>
    <w:rsid w:val="00680284"/>
    <w:rsid w:val="006814A3"/>
    <w:rsid w:val="00682029"/>
    <w:rsid w:val="00684654"/>
    <w:rsid w:val="00684871"/>
    <w:rsid w:val="00684F95"/>
    <w:rsid w:val="00685219"/>
    <w:rsid w:val="006855AD"/>
    <w:rsid w:val="00686124"/>
    <w:rsid w:val="00686513"/>
    <w:rsid w:val="0068661B"/>
    <w:rsid w:val="00686B38"/>
    <w:rsid w:val="00686CFB"/>
    <w:rsid w:val="00686E17"/>
    <w:rsid w:val="00686FDB"/>
    <w:rsid w:val="00687238"/>
    <w:rsid w:val="0068746F"/>
    <w:rsid w:val="00687536"/>
    <w:rsid w:val="006901DC"/>
    <w:rsid w:val="00690972"/>
    <w:rsid w:val="006935C0"/>
    <w:rsid w:val="006940C2"/>
    <w:rsid w:val="006945D0"/>
    <w:rsid w:val="006945E9"/>
    <w:rsid w:val="00694ADB"/>
    <w:rsid w:val="006965BB"/>
    <w:rsid w:val="006966AD"/>
    <w:rsid w:val="00697A1B"/>
    <w:rsid w:val="006A055D"/>
    <w:rsid w:val="006A15EB"/>
    <w:rsid w:val="006A1EF5"/>
    <w:rsid w:val="006A226F"/>
    <w:rsid w:val="006A2346"/>
    <w:rsid w:val="006A2DDC"/>
    <w:rsid w:val="006A4E46"/>
    <w:rsid w:val="006A5F09"/>
    <w:rsid w:val="006A62F4"/>
    <w:rsid w:val="006A6609"/>
    <w:rsid w:val="006A71E6"/>
    <w:rsid w:val="006A746E"/>
    <w:rsid w:val="006A7998"/>
    <w:rsid w:val="006B0770"/>
    <w:rsid w:val="006B092B"/>
    <w:rsid w:val="006B0937"/>
    <w:rsid w:val="006B1866"/>
    <w:rsid w:val="006B1FD5"/>
    <w:rsid w:val="006B2613"/>
    <w:rsid w:val="006B369C"/>
    <w:rsid w:val="006B3BDE"/>
    <w:rsid w:val="006B3EE9"/>
    <w:rsid w:val="006B4795"/>
    <w:rsid w:val="006B51E6"/>
    <w:rsid w:val="006B59F3"/>
    <w:rsid w:val="006B6E25"/>
    <w:rsid w:val="006C03FA"/>
    <w:rsid w:val="006C07E8"/>
    <w:rsid w:val="006C19E4"/>
    <w:rsid w:val="006C201E"/>
    <w:rsid w:val="006C2668"/>
    <w:rsid w:val="006C2FA3"/>
    <w:rsid w:val="006C40D5"/>
    <w:rsid w:val="006C456B"/>
    <w:rsid w:val="006C469F"/>
    <w:rsid w:val="006C471A"/>
    <w:rsid w:val="006C4AC1"/>
    <w:rsid w:val="006C4CD0"/>
    <w:rsid w:val="006C534F"/>
    <w:rsid w:val="006C541A"/>
    <w:rsid w:val="006C5421"/>
    <w:rsid w:val="006C5699"/>
    <w:rsid w:val="006C5847"/>
    <w:rsid w:val="006C6F82"/>
    <w:rsid w:val="006C7095"/>
    <w:rsid w:val="006C759B"/>
    <w:rsid w:val="006D06BB"/>
    <w:rsid w:val="006D06F4"/>
    <w:rsid w:val="006D3115"/>
    <w:rsid w:val="006D3B9B"/>
    <w:rsid w:val="006D3C13"/>
    <w:rsid w:val="006D4BEE"/>
    <w:rsid w:val="006D56BE"/>
    <w:rsid w:val="006D6A2B"/>
    <w:rsid w:val="006D7167"/>
    <w:rsid w:val="006D7512"/>
    <w:rsid w:val="006D7B59"/>
    <w:rsid w:val="006E09B7"/>
    <w:rsid w:val="006E14A7"/>
    <w:rsid w:val="006E1A92"/>
    <w:rsid w:val="006E1BB3"/>
    <w:rsid w:val="006E1F76"/>
    <w:rsid w:val="006E2310"/>
    <w:rsid w:val="006E257A"/>
    <w:rsid w:val="006E2749"/>
    <w:rsid w:val="006E3035"/>
    <w:rsid w:val="006E36CD"/>
    <w:rsid w:val="006E45FF"/>
    <w:rsid w:val="006E4BAA"/>
    <w:rsid w:val="006E50BF"/>
    <w:rsid w:val="006E544C"/>
    <w:rsid w:val="006E58BE"/>
    <w:rsid w:val="006E75D3"/>
    <w:rsid w:val="006F06FF"/>
    <w:rsid w:val="006F080B"/>
    <w:rsid w:val="006F17BF"/>
    <w:rsid w:val="006F1A4A"/>
    <w:rsid w:val="006F1CC1"/>
    <w:rsid w:val="006F23B5"/>
    <w:rsid w:val="006F3205"/>
    <w:rsid w:val="006F32A1"/>
    <w:rsid w:val="006F3A87"/>
    <w:rsid w:val="006F3E3A"/>
    <w:rsid w:val="006F5CAE"/>
    <w:rsid w:val="006F6271"/>
    <w:rsid w:val="006F6654"/>
    <w:rsid w:val="006F7563"/>
    <w:rsid w:val="00700B22"/>
    <w:rsid w:val="00702932"/>
    <w:rsid w:val="00702D77"/>
    <w:rsid w:val="00702E88"/>
    <w:rsid w:val="007034E5"/>
    <w:rsid w:val="00703BAC"/>
    <w:rsid w:val="00703BC7"/>
    <w:rsid w:val="00703F6D"/>
    <w:rsid w:val="007041DD"/>
    <w:rsid w:val="00704296"/>
    <w:rsid w:val="0070437B"/>
    <w:rsid w:val="0070463C"/>
    <w:rsid w:val="00705163"/>
    <w:rsid w:val="00705173"/>
    <w:rsid w:val="007055E5"/>
    <w:rsid w:val="00705DD2"/>
    <w:rsid w:val="00706B25"/>
    <w:rsid w:val="00706E60"/>
    <w:rsid w:val="00710A65"/>
    <w:rsid w:val="007113A8"/>
    <w:rsid w:val="00712385"/>
    <w:rsid w:val="00714B6E"/>
    <w:rsid w:val="00715A2D"/>
    <w:rsid w:val="00716894"/>
    <w:rsid w:val="0071718C"/>
    <w:rsid w:val="0071739D"/>
    <w:rsid w:val="00720148"/>
    <w:rsid w:val="00722913"/>
    <w:rsid w:val="00723194"/>
    <w:rsid w:val="00723BF3"/>
    <w:rsid w:val="00723F36"/>
    <w:rsid w:val="00724AFC"/>
    <w:rsid w:val="00726488"/>
    <w:rsid w:val="00726558"/>
    <w:rsid w:val="00726A4F"/>
    <w:rsid w:val="00726B0B"/>
    <w:rsid w:val="007275E6"/>
    <w:rsid w:val="00727C68"/>
    <w:rsid w:val="00727E21"/>
    <w:rsid w:val="00730D92"/>
    <w:rsid w:val="00731175"/>
    <w:rsid w:val="00731186"/>
    <w:rsid w:val="00731FEB"/>
    <w:rsid w:val="007320F1"/>
    <w:rsid w:val="007331FB"/>
    <w:rsid w:val="00733CCE"/>
    <w:rsid w:val="007349C0"/>
    <w:rsid w:val="00735044"/>
    <w:rsid w:val="00735589"/>
    <w:rsid w:val="007355F8"/>
    <w:rsid w:val="00735D4E"/>
    <w:rsid w:val="007361DB"/>
    <w:rsid w:val="00736A9B"/>
    <w:rsid w:val="007373A7"/>
    <w:rsid w:val="00737678"/>
    <w:rsid w:val="007413FA"/>
    <w:rsid w:val="00741AF6"/>
    <w:rsid w:val="00742564"/>
    <w:rsid w:val="00742969"/>
    <w:rsid w:val="00743616"/>
    <w:rsid w:val="007447F4"/>
    <w:rsid w:val="00744B05"/>
    <w:rsid w:val="00745252"/>
    <w:rsid w:val="0074591E"/>
    <w:rsid w:val="0074634B"/>
    <w:rsid w:val="00747A24"/>
    <w:rsid w:val="00750086"/>
    <w:rsid w:val="00751333"/>
    <w:rsid w:val="00751707"/>
    <w:rsid w:val="0075253D"/>
    <w:rsid w:val="00752563"/>
    <w:rsid w:val="00753551"/>
    <w:rsid w:val="00753B4F"/>
    <w:rsid w:val="00753B7A"/>
    <w:rsid w:val="0075414A"/>
    <w:rsid w:val="00754FC5"/>
    <w:rsid w:val="007550C9"/>
    <w:rsid w:val="007551B1"/>
    <w:rsid w:val="007554E1"/>
    <w:rsid w:val="007559EF"/>
    <w:rsid w:val="00755BA9"/>
    <w:rsid w:val="00755F7B"/>
    <w:rsid w:val="00756118"/>
    <w:rsid w:val="007561B9"/>
    <w:rsid w:val="00756811"/>
    <w:rsid w:val="00757AC5"/>
    <w:rsid w:val="00757BB4"/>
    <w:rsid w:val="00757CBF"/>
    <w:rsid w:val="00757D80"/>
    <w:rsid w:val="00760117"/>
    <w:rsid w:val="0076016D"/>
    <w:rsid w:val="00761327"/>
    <w:rsid w:val="007619B9"/>
    <w:rsid w:val="00761FBC"/>
    <w:rsid w:val="007622AE"/>
    <w:rsid w:val="007626E3"/>
    <w:rsid w:val="00763D1B"/>
    <w:rsid w:val="00764682"/>
    <w:rsid w:val="00764E16"/>
    <w:rsid w:val="00765F9E"/>
    <w:rsid w:val="00766338"/>
    <w:rsid w:val="00766A68"/>
    <w:rsid w:val="0076716B"/>
    <w:rsid w:val="007673EB"/>
    <w:rsid w:val="007674E6"/>
    <w:rsid w:val="007676D0"/>
    <w:rsid w:val="00767B26"/>
    <w:rsid w:val="00767D94"/>
    <w:rsid w:val="007702FB"/>
    <w:rsid w:val="007705AF"/>
    <w:rsid w:val="007707A9"/>
    <w:rsid w:val="00770CA2"/>
    <w:rsid w:val="00771C2C"/>
    <w:rsid w:val="00771EAD"/>
    <w:rsid w:val="00772338"/>
    <w:rsid w:val="007723A8"/>
    <w:rsid w:val="00772D05"/>
    <w:rsid w:val="00773BFD"/>
    <w:rsid w:val="00773F23"/>
    <w:rsid w:val="0077449C"/>
    <w:rsid w:val="00774BDB"/>
    <w:rsid w:val="0077585A"/>
    <w:rsid w:val="00775961"/>
    <w:rsid w:val="007763C9"/>
    <w:rsid w:val="007772E2"/>
    <w:rsid w:val="0077744D"/>
    <w:rsid w:val="00777C34"/>
    <w:rsid w:val="00777D17"/>
    <w:rsid w:val="00780F44"/>
    <w:rsid w:val="007820A3"/>
    <w:rsid w:val="007821C6"/>
    <w:rsid w:val="007823CE"/>
    <w:rsid w:val="00782972"/>
    <w:rsid w:val="00782D91"/>
    <w:rsid w:val="00783690"/>
    <w:rsid w:val="00784A55"/>
    <w:rsid w:val="00784A64"/>
    <w:rsid w:val="00784FCE"/>
    <w:rsid w:val="00786018"/>
    <w:rsid w:val="00786185"/>
    <w:rsid w:val="007867D6"/>
    <w:rsid w:val="00786BCA"/>
    <w:rsid w:val="00786CA0"/>
    <w:rsid w:val="007873FB"/>
    <w:rsid w:val="00787BE9"/>
    <w:rsid w:val="00790396"/>
    <w:rsid w:val="007906B1"/>
    <w:rsid w:val="00790B64"/>
    <w:rsid w:val="00790C7D"/>
    <w:rsid w:val="00790D5C"/>
    <w:rsid w:val="00790EAC"/>
    <w:rsid w:val="00791D4D"/>
    <w:rsid w:val="00792927"/>
    <w:rsid w:val="007933DE"/>
    <w:rsid w:val="00793D6B"/>
    <w:rsid w:val="00794439"/>
    <w:rsid w:val="00794A43"/>
    <w:rsid w:val="00794D7B"/>
    <w:rsid w:val="007955ED"/>
    <w:rsid w:val="00797184"/>
    <w:rsid w:val="007975A0"/>
    <w:rsid w:val="007978A0"/>
    <w:rsid w:val="007A008C"/>
    <w:rsid w:val="007A0979"/>
    <w:rsid w:val="007A0BD0"/>
    <w:rsid w:val="007A0FE4"/>
    <w:rsid w:val="007A14A3"/>
    <w:rsid w:val="007A170C"/>
    <w:rsid w:val="007A2BB8"/>
    <w:rsid w:val="007A3450"/>
    <w:rsid w:val="007A34C6"/>
    <w:rsid w:val="007A4741"/>
    <w:rsid w:val="007A47D9"/>
    <w:rsid w:val="007A4EE5"/>
    <w:rsid w:val="007A5252"/>
    <w:rsid w:val="007A56B4"/>
    <w:rsid w:val="007A57D2"/>
    <w:rsid w:val="007A6327"/>
    <w:rsid w:val="007A65FA"/>
    <w:rsid w:val="007A7A44"/>
    <w:rsid w:val="007B01C6"/>
    <w:rsid w:val="007B1EEE"/>
    <w:rsid w:val="007B272C"/>
    <w:rsid w:val="007B2C7E"/>
    <w:rsid w:val="007B32E1"/>
    <w:rsid w:val="007B3A2F"/>
    <w:rsid w:val="007B41EA"/>
    <w:rsid w:val="007B43C2"/>
    <w:rsid w:val="007B5653"/>
    <w:rsid w:val="007B6205"/>
    <w:rsid w:val="007B6AEC"/>
    <w:rsid w:val="007B6E73"/>
    <w:rsid w:val="007B6EB4"/>
    <w:rsid w:val="007C134E"/>
    <w:rsid w:val="007C1696"/>
    <w:rsid w:val="007C1DD6"/>
    <w:rsid w:val="007C2A50"/>
    <w:rsid w:val="007C312A"/>
    <w:rsid w:val="007C3BF2"/>
    <w:rsid w:val="007C46D2"/>
    <w:rsid w:val="007C4D6F"/>
    <w:rsid w:val="007C502B"/>
    <w:rsid w:val="007C58DB"/>
    <w:rsid w:val="007C6195"/>
    <w:rsid w:val="007C6DCB"/>
    <w:rsid w:val="007C7B07"/>
    <w:rsid w:val="007C7B48"/>
    <w:rsid w:val="007D0CDC"/>
    <w:rsid w:val="007D14AB"/>
    <w:rsid w:val="007D1549"/>
    <w:rsid w:val="007D18F2"/>
    <w:rsid w:val="007D2F33"/>
    <w:rsid w:val="007D35AE"/>
    <w:rsid w:val="007D3B46"/>
    <w:rsid w:val="007D42EB"/>
    <w:rsid w:val="007D523E"/>
    <w:rsid w:val="007D574B"/>
    <w:rsid w:val="007D5DE9"/>
    <w:rsid w:val="007E0571"/>
    <w:rsid w:val="007E0BBE"/>
    <w:rsid w:val="007E12BA"/>
    <w:rsid w:val="007E1A61"/>
    <w:rsid w:val="007E1DAE"/>
    <w:rsid w:val="007E1DBA"/>
    <w:rsid w:val="007E2867"/>
    <w:rsid w:val="007E2C55"/>
    <w:rsid w:val="007E3E0A"/>
    <w:rsid w:val="007E432C"/>
    <w:rsid w:val="007E5833"/>
    <w:rsid w:val="007E5C75"/>
    <w:rsid w:val="007E70C0"/>
    <w:rsid w:val="007E7682"/>
    <w:rsid w:val="007F0D7A"/>
    <w:rsid w:val="007F13A3"/>
    <w:rsid w:val="007F16CD"/>
    <w:rsid w:val="007F31E3"/>
    <w:rsid w:val="007F3395"/>
    <w:rsid w:val="007F3464"/>
    <w:rsid w:val="007F3E6A"/>
    <w:rsid w:val="007F45AF"/>
    <w:rsid w:val="007F48A3"/>
    <w:rsid w:val="007F5703"/>
    <w:rsid w:val="007F5A53"/>
    <w:rsid w:val="007F6642"/>
    <w:rsid w:val="007F793C"/>
    <w:rsid w:val="007F7F91"/>
    <w:rsid w:val="00800948"/>
    <w:rsid w:val="00801763"/>
    <w:rsid w:val="0080293B"/>
    <w:rsid w:val="00803236"/>
    <w:rsid w:val="008048D6"/>
    <w:rsid w:val="00806191"/>
    <w:rsid w:val="00807634"/>
    <w:rsid w:val="008079AD"/>
    <w:rsid w:val="00810337"/>
    <w:rsid w:val="00811F82"/>
    <w:rsid w:val="008129BD"/>
    <w:rsid w:val="008137EF"/>
    <w:rsid w:val="008140C6"/>
    <w:rsid w:val="00815282"/>
    <w:rsid w:val="00815483"/>
    <w:rsid w:val="00815713"/>
    <w:rsid w:val="008163DA"/>
    <w:rsid w:val="00816673"/>
    <w:rsid w:val="00820218"/>
    <w:rsid w:val="00820625"/>
    <w:rsid w:val="00820AE6"/>
    <w:rsid w:val="00824645"/>
    <w:rsid w:val="00824FA8"/>
    <w:rsid w:val="00825888"/>
    <w:rsid w:val="00825D76"/>
    <w:rsid w:val="008263DE"/>
    <w:rsid w:val="00830C39"/>
    <w:rsid w:val="00830C77"/>
    <w:rsid w:val="008324C9"/>
    <w:rsid w:val="00833B67"/>
    <w:rsid w:val="0083496F"/>
    <w:rsid w:val="008353C0"/>
    <w:rsid w:val="00835413"/>
    <w:rsid w:val="00836208"/>
    <w:rsid w:val="008362E8"/>
    <w:rsid w:val="00836CA0"/>
    <w:rsid w:val="00840D13"/>
    <w:rsid w:val="008414C4"/>
    <w:rsid w:val="00841715"/>
    <w:rsid w:val="00841A0D"/>
    <w:rsid w:val="00841F1E"/>
    <w:rsid w:val="00842027"/>
    <w:rsid w:val="008423C5"/>
    <w:rsid w:val="00842576"/>
    <w:rsid w:val="00843DFD"/>
    <w:rsid w:val="008446CD"/>
    <w:rsid w:val="0084496F"/>
    <w:rsid w:val="00844D54"/>
    <w:rsid w:val="008454A8"/>
    <w:rsid w:val="0084669C"/>
    <w:rsid w:val="00847FCC"/>
    <w:rsid w:val="00850263"/>
    <w:rsid w:val="00850759"/>
    <w:rsid w:val="00850C55"/>
    <w:rsid w:val="00851371"/>
    <w:rsid w:val="00854B99"/>
    <w:rsid w:val="00855344"/>
    <w:rsid w:val="00855705"/>
    <w:rsid w:val="00855C88"/>
    <w:rsid w:val="00855E07"/>
    <w:rsid w:val="008566EC"/>
    <w:rsid w:val="00857A8B"/>
    <w:rsid w:val="00857D98"/>
    <w:rsid w:val="008600BC"/>
    <w:rsid w:val="00860407"/>
    <w:rsid w:val="00860459"/>
    <w:rsid w:val="0086050B"/>
    <w:rsid w:val="00861240"/>
    <w:rsid w:val="00861971"/>
    <w:rsid w:val="008623E9"/>
    <w:rsid w:val="008642F5"/>
    <w:rsid w:val="00864DB4"/>
    <w:rsid w:val="00865A54"/>
    <w:rsid w:val="00865B7D"/>
    <w:rsid w:val="0086780A"/>
    <w:rsid w:val="008678DB"/>
    <w:rsid w:val="008703C7"/>
    <w:rsid w:val="008711A2"/>
    <w:rsid w:val="00871940"/>
    <w:rsid w:val="00871CD1"/>
    <w:rsid w:val="008722FE"/>
    <w:rsid w:val="00872510"/>
    <w:rsid w:val="0087345E"/>
    <w:rsid w:val="00874268"/>
    <w:rsid w:val="00874833"/>
    <w:rsid w:val="00874A12"/>
    <w:rsid w:val="00874AA4"/>
    <w:rsid w:val="00874C29"/>
    <w:rsid w:val="00875797"/>
    <w:rsid w:val="00877A18"/>
    <w:rsid w:val="008809C1"/>
    <w:rsid w:val="0088112E"/>
    <w:rsid w:val="00881262"/>
    <w:rsid w:val="008819B7"/>
    <w:rsid w:val="00881D4B"/>
    <w:rsid w:val="00882192"/>
    <w:rsid w:val="00882EFA"/>
    <w:rsid w:val="0088303A"/>
    <w:rsid w:val="00883750"/>
    <w:rsid w:val="00883F3B"/>
    <w:rsid w:val="00885039"/>
    <w:rsid w:val="0088550B"/>
    <w:rsid w:val="00886572"/>
    <w:rsid w:val="008868F2"/>
    <w:rsid w:val="008907E2"/>
    <w:rsid w:val="00890D8A"/>
    <w:rsid w:val="008913AC"/>
    <w:rsid w:val="008929C0"/>
    <w:rsid w:val="00893E39"/>
    <w:rsid w:val="00893F23"/>
    <w:rsid w:val="0089403C"/>
    <w:rsid w:val="00894CF2"/>
    <w:rsid w:val="00895679"/>
    <w:rsid w:val="00896C1C"/>
    <w:rsid w:val="00896EB1"/>
    <w:rsid w:val="008971A1"/>
    <w:rsid w:val="008A0E14"/>
    <w:rsid w:val="008A1D32"/>
    <w:rsid w:val="008A210B"/>
    <w:rsid w:val="008A21EF"/>
    <w:rsid w:val="008A2395"/>
    <w:rsid w:val="008A36E1"/>
    <w:rsid w:val="008A3922"/>
    <w:rsid w:val="008A4173"/>
    <w:rsid w:val="008A4727"/>
    <w:rsid w:val="008A47A6"/>
    <w:rsid w:val="008A4E45"/>
    <w:rsid w:val="008A5336"/>
    <w:rsid w:val="008A56E8"/>
    <w:rsid w:val="008A59DD"/>
    <w:rsid w:val="008A5C7A"/>
    <w:rsid w:val="008A71DE"/>
    <w:rsid w:val="008A7874"/>
    <w:rsid w:val="008A7BBB"/>
    <w:rsid w:val="008A7C0E"/>
    <w:rsid w:val="008B0CBB"/>
    <w:rsid w:val="008B1F1D"/>
    <w:rsid w:val="008B24D8"/>
    <w:rsid w:val="008B3787"/>
    <w:rsid w:val="008B3F12"/>
    <w:rsid w:val="008B4DFD"/>
    <w:rsid w:val="008B58BA"/>
    <w:rsid w:val="008B5B92"/>
    <w:rsid w:val="008B5E45"/>
    <w:rsid w:val="008B7351"/>
    <w:rsid w:val="008B76B4"/>
    <w:rsid w:val="008B7971"/>
    <w:rsid w:val="008B7DB9"/>
    <w:rsid w:val="008C0689"/>
    <w:rsid w:val="008C0E76"/>
    <w:rsid w:val="008C13AD"/>
    <w:rsid w:val="008C1688"/>
    <w:rsid w:val="008C20B7"/>
    <w:rsid w:val="008C3147"/>
    <w:rsid w:val="008C409C"/>
    <w:rsid w:val="008C524A"/>
    <w:rsid w:val="008C65BE"/>
    <w:rsid w:val="008C675A"/>
    <w:rsid w:val="008C68F1"/>
    <w:rsid w:val="008D1918"/>
    <w:rsid w:val="008D204D"/>
    <w:rsid w:val="008D2174"/>
    <w:rsid w:val="008D2840"/>
    <w:rsid w:val="008D34B3"/>
    <w:rsid w:val="008D3BC2"/>
    <w:rsid w:val="008D455D"/>
    <w:rsid w:val="008D4FB8"/>
    <w:rsid w:val="008D5FE5"/>
    <w:rsid w:val="008D6D59"/>
    <w:rsid w:val="008E087C"/>
    <w:rsid w:val="008E23F6"/>
    <w:rsid w:val="008E24CC"/>
    <w:rsid w:val="008E2C5D"/>
    <w:rsid w:val="008E2D09"/>
    <w:rsid w:val="008E3B10"/>
    <w:rsid w:val="008E410F"/>
    <w:rsid w:val="008E42C6"/>
    <w:rsid w:val="008E55DE"/>
    <w:rsid w:val="008E69F0"/>
    <w:rsid w:val="008F04A4"/>
    <w:rsid w:val="008F16F6"/>
    <w:rsid w:val="008F2827"/>
    <w:rsid w:val="008F3B79"/>
    <w:rsid w:val="008F3FED"/>
    <w:rsid w:val="008F49C5"/>
    <w:rsid w:val="008F5F41"/>
    <w:rsid w:val="008F739D"/>
    <w:rsid w:val="009010CC"/>
    <w:rsid w:val="009046AE"/>
    <w:rsid w:val="00904A2D"/>
    <w:rsid w:val="00905145"/>
    <w:rsid w:val="00905204"/>
    <w:rsid w:val="0090684A"/>
    <w:rsid w:val="00906F2E"/>
    <w:rsid w:val="0090718A"/>
    <w:rsid w:val="00907FC9"/>
    <w:rsid w:val="009101B5"/>
    <w:rsid w:val="00910E0E"/>
    <w:rsid w:val="009113D8"/>
    <w:rsid w:val="00912D74"/>
    <w:rsid w:val="0091358D"/>
    <w:rsid w:val="00913869"/>
    <w:rsid w:val="00914224"/>
    <w:rsid w:val="00914ED8"/>
    <w:rsid w:val="009156DE"/>
    <w:rsid w:val="00915B7C"/>
    <w:rsid w:val="00916213"/>
    <w:rsid w:val="00917BF6"/>
    <w:rsid w:val="009201BF"/>
    <w:rsid w:val="00920241"/>
    <w:rsid w:val="00920DD5"/>
    <w:rsid w:val="00920F23"/>
    <w:rsid w:val="00922337"/>
    <w:rsid w:val="00923C51"/>
    <w:rsid w:val="009246C1"/>
    <w:rsid w:val="009256D2"/>
    <w:rsid w:val="00926329"/>
    <w:rsid w:val="00926D08"/>
    <w:rsid w:val="0092753E"/>
    <w:rsid w:val="00930C56"/>
    <w:rsid w:val="00930EF4"/>
    <w:rsid w:val="00931687"/>
    <w:rsid w:val="009316A0"/>
    <w:rsid w:val="0093212D"/>
    <w:rsid w:val="0093225B"/>
    <w:rsid w:val="00932812"/>
    <w:rsid w:val="00932A9D"/>
    <w:rsid w:val="009330E6"/>
    <w:rsid w:val="00934819"/>
    <w:rsid w:val="009374C6"/>
    <w:rsid w:val="00937892"/>
    <w:rsid w:val="00940A80"/>
    <w:rsid w:val="00940D2A"/>
    <w:rsid w:val="00940F35"/>
    <w:rsid w:val="00941D0A"/>
    <w:rsid w:val="00944007"/>
    <w:rsid w:val="00945B60"/>
    <w:rsid w:val="0094605B"/>
    <w:rsid w:val="009475BA"/>
    <w:rsid w:val="00947EAD"/>
    <w:rsid w:val="00947FC8"/>
    <w:rsid w:val="009512C7"/>
    <w:rsid w:val="009515E7"/>
    <w:rsid w:val="00952D58"/>
    <w:rsid w:val="00952DA4"/>
    <w:rsid w:val="00953307"/>
    <w:rsid w:val="009533E7"/>
    <w:rsid w:val="00953983"/>
    <w:rsid w:val="00953ED3"/>
    <w:rsid w:val="00954C8F"/>
    <w:rsid w:val="00955670"/>
    <w:rsid w:val="009559B0"/>
    <w:rsid w:val="00955E47"/>
    <w:rsid w:val="00956559"/>
    <w:rsid w:val="00956F0D"/>
    <w:rsid w:val="009579B1"/>
    <w:rsid w:val="00957A90"/>
    <w:rsid w:val="00957FD3"/>
    <w:rsid w:val="00960510"/>
    <w:rsid w:val="00960800"/>
    <w:rsid w:val="00961049"/>
    <w:rsid w:val="009621BD"/>
    <w:rsid w:val="009629F1"/>
    <w:rsid w:val="00962D39"/>
    <w:rsid w:val="0096301F"/>
    <w:rsid w:val="00963362"/>
    <w:rsid w:val="00963690"/>
    <w:rsid w:val="00963753"/>
    <w:rsid w:val="00963B02"/>
    <w:rsid w:val="00963BD9"/>
    <w:rsid w:val="00963D75"/>
    <w:rsid w:val="00964BB7"/>
    <w:rsid w:val="00965274"/>
    <w:rsid w:val="00965ACF"/>
    <w:rsid w:val="0096600D"/>
    <w:rsid w:val="009664F8"/>
    <w:rsid w:val="00966914"/>
    <w:rsid w:val="00966BB5"/>
    <w:rsid w:val="00967426"/>
    <w:rsid w:val="0097054F"/>
    <w:rsid w:val="00971240"/>
    <w:rsid w:val="00972477"/>
    <w:rsid w:val="00972C3D"/>
    <w:rsid w:val="00973E6F"/>
    <w:rsid w:val="00974295"/>
    <w:rsid w:val="0097587E"/>
    <w:rsid w:val="00975EEC"/>
    <w:rsid w:val="0097685F"/>
    <w:rsid w:val="00981E20"/>
    <w:rsid w:val="009830EC"/>
    <w:rsid w:val="00984B8D"/>
    <w:rsid w:val="009858F1"/>
    <w:rsid w:val="00985C90"/>
    <w:rsid w:val="00986209"/>
    <w:rsid w:val="009879CA"/>
    <w:rsid w:val="00987A37"/>
    <w:rsid w:val="00987EAB"/>
    <w:rsid w:val="00990240"/>
    <w:rsid w:val="00990834"/>
    <w:rsid w:val="009913F8"/>
    <w:rsid w:val="00991BF9"/>
    <w:rsid w:val="009927FD"/>
    <w:rsid w:val="0099412A"/>
    <w:rsid w:val="009941CD"/>
    <w:rsid w:val="009951BF"/>
    <w:rsid w:val="009961E6"/>
    <w:rsid w:val="00996C50"/>
    <w:rsid w:val="00996DA3"/>
    <w:rsid w:val="00996EA1"/>
    <w:rsid w:val="00996F4A"/>
    <w:rsid w:val="009971A1"/>
    <w:rsid w:val="00997B57"/>
    <w:rsid w:val="009A0361"/>
    <w:rsid w:val="009A09FD"/>
    <w:rsid w:val="009A1D56"/>
    <w:rsid w:val="009A2AA2"/>
    <w:rsid w:val="009A2C73"/>
    <w:rsid w:val="009A3808"/>
    <w:rsid w:val="009A387B"/>
    <w:rsid w:val="009A3B2F"/>
    <w:rsid w:val="009A4342"/>
    <w:rsid w:val="009A4EFF"/>
    <w:rsid w:val="009A504A"/>
    <w:rsid w:val="009A51DF"/>
    <w:rsid w:val="009A5303"/>
    <w:rsid w:val="009A5489"/>
    <w:rsid w:val="009A579C"/>
    <w:rsid w:val="009A57B5"/>
    <w:rsid w:val="009A6BB6"/>
    <w:rsid w:val="009A6E52"/>
    <w:rsid w:val="009A7077"/>
    <w:rsid w:val="009A7089"/>
    <w:rsid w:val="009A73C6"/>
    <w:rsid w:val="009A7609"/>
    <w:rsid w:val="009B1281"/>
    <w:rsid w:val="009B37AB"/>
    <w:rsid w:val="009B39FB"/>
    <w:rsid w:val="009B46B6"/>
    <w:rsid w:val="009B60C7"/>
    <w:rsid w:val="009B6279"/>
    <w:rsid w:val="009B77A6"/>
    <w:rsid w:val="009B7D24"/>
    <w:rsid w:val="009C008A"/>
    <w:rsid w:val="009C0D4F"/>
    <w:rsid w:val="009C1DBC"/>
    <w:rsid w:val="009C1EEB"/>
    <w:rsid w:val="009C30A9"/>
    <w:rsid w:val="009C3413"/>
    <w:rsid w:val="009C496E"/>
    <w:rsid w:val="009C552E"/>
    <w:rsid w:val="009C56E7"/>
    <w:rsid w:val="009C57F4"/>
    <w:rsid w:val="009C58C1"/>
    <w:rsid w:val="009C5D70"/>
    <w:rsid w:val="009C6189"/>
    <w:rsid w:val="009C63F0"/>
    <w:rsid w:val="009D075A"/>
    <w:rsid w:val="009D0EDF"/>
    <w:rsid w:val="009D21FA"/>
    <w:rsid w:val="009D23E3"/>
    <w:rsid w:val="009D257F"/>
    <w:rsid w:val="009D2AC6"/>
    <w:rsid w:val="009D2EF9"/>
    <w:rsid w:val="009D2FF2"/>
    <w:rsid w:val="009D4C1E"/>
    <w:rsid w:val="009D58AC"/>
    <w:rsid w:val="009D596F"/>
    <w:rsid w:val="009D5AB4"/>
    <w:rsid w:val="009D639C"/>
    <w:rsid w:val="009D685F"/>
    <w:rsid w:val="009D76AA"/>
    <w:rsid w:val="009D7BF8"/>
    <w:rsid w:val="009D7E87"/>
    <w:rsid w:val="009E0E92"/>
    <w:rsid w:val="009E2DD8"/>
    <w:rsid w:val="009E3263"/>
    <w:rsid w:val="009E55EF"/>
    <w:rsid w:val="009E5A91"/>
    <w:rsid w:val="009E6B3B"/>
    <w:rsid w:val="009E74F3"/>
    <w:rsid w:val="009E767E"/>
    <w:rsid w:val="009E7881"/>
    <w:rsid w:val="009E7EF7"/>
    <w:rsid w:val="009E7FEE"/>
    <w:rsid w:val="009F0BD9"/>
    <w:rsid w:val="009F1D45"/>
    <w:rsid w:val="009F2A33"/>
    <w:rsid w:val="009F40B8"/>
    <w:rsid w:val="009F46A8"/>
    <w:rsid w:val="009F4D80"/>
    <w:rsid w:val="009F58BB"/>
    <w:rsid w:val="009F6231"/>
    <w:rsid w:val="009F7111"/>
    <w:rsid w:val="009F791C"/>
    <w:rsid w:val="00A0031F"/>
    <w:rsid w:val="00A0036D"/>
    <w:rsid w:val="00A00D32"/>
    <w:rsid w:val="00A00EB1"/>
    <w:rsid w:val="00A0147D"/>
    <w:rsid w:val="00A015EC"/>
    <w:rsid w:val="00A03C3E"/>
    <w:rsid w:val="00A0435C"/>
    <w:rsid w:val="00A05451"/>
    <w:rsid w:val="00A054CF"/>
    <w:rsid w:val="00A05807"/>
    <w:rsid w:val="00A0581E"/>
    <w:rsid w:val="00A0664B"/>
    <w:rsid w:val="00A06D4E"/>
    <w:rsid w:val="00A0757B"/>
    <w:rsid w:val="00A10862"/>
    <w:rsid w:val="00A110CF"/>
    <w:rsid w:val="00A11161"/>
    <w:rsid w:val="00A115E5"/>
    <w:rsid w:val="00A1169F"/>
    <w:rsid w:val="00A11F0B"/>
    <w:rsid w:val="00A12809"/>
    <w:rsid w:val="00A128E5"/>
    <w:rsid w:val="00A14F58"/>
    <w:rsid w:val="00A15ED2"/>
    <w:rsid w:val="00A165FB"/>
    <w:rsid w:val="00A16A1F"/>
    <w:rsid w:val="00A17231"/>
    <w:rsid w:val="00A17E26"/>
    <w:rsid w:val="00A205BF"/>
    <w:rsid w:val="00A20611"/>
    <w:rsid w:val="00A20C91"/>
    <w:rsid w:val="00A218F9"/>
    <w:rsid w:val="00A2252B"/>
    <w:rsid w:val="00A2285A"/>
    <w:rsid w:val="00A22F8F"/>
    <w:rsid w:val="00A23231"/>
    <w:rsid w:val="00A23D6A"/>
    <w:rsid w:val="00A2403C"/>
    <w:rsid w:val="00A240B5"/>
    <w:rsid w:val="00A24657"/>
    <w:rsid w:val="00A25158"/>
    <w:rsid w:val="00A2552E"/>
    <w:rsid w:val="00A26152"/>
    <w:rsid w:val="00A26652"/>
    <w:rsid w:val="00A26E12"/>
    <w:rsid w:val="00A273A4"/>
    <w:rsid w:val="00A27606"/>
    <w:rsid w:val="00A301DA"/>
    <w:rsid w:val="00A3094D"/>
    <w:rsid w:val="00A30B8B"/>
    <w:rsid w:val="00A312FA"/>
    <w:rsid w:val="00A32435"/>
    <w:rsid w:val="00A325A4"/>
    <w:rsid w:val="00A336C1"/>
    <w:rsid w:val="00A33A4A"/>
    <w:rsid w:val="00A34255"/>
    <w:rsid w:val="00A34808"/>
    <w:rsid w:val="00A359F7"/>
    <w:rsid w:val="00A3783B"/>
    <w:rsid w:val="00A37BF1"/>
    <w:rsid w:val="00A37CA4"/>
    <w:rsid w:val="00A405B4"/>
    <w:rsid w:val="00A40F0E"/>
    <w:rsid w:val="00A4266A"/>
    <w:rsid w:val="00A440A0"/>
    <w:rsid w:val="00A44927"/>
    <w:rsid w:val="00A44D41"/>
    <w:rsid w:val="00A469A2"/>
    <w:rsid w:val="00A46F9F"/>
    <w:rsid w:val="00A47300"/>
    <w:rsid w:val="00A5045B"/>
    <w:rsid w:val="00A506FF"/>
    <w:rsid w:val="00A509CF"/>
    <w:rsid w:val="00A5146F"/>
    <w:rsid w:val="00A52055"/>
    <w:rsid w:val="00A52573"/>
    <w:rsid w:val="00A529CF"/>
    <w:rsid w:val="00A529EF"/>
    <w:rsid w:val="00A52F4E"/>
    <w:rsid w:val="00A53016"/>
    <w:rsid w:val="00A533B8"/>
    <w:rsid w:val="00A53653"/>
    <w:rsid w:val="00A5393B"/>
    <w:rsid w:val="00A556A4"/>
    <w:rsid w:val="00A55A31"/>
    <w:rsid w:val="00A5605F"/>
    <w:rsid w:val="00A5657E"/>
    <w:rsid w:val="00A57A86"/>
    <w:rsid w:val="00A600E5"/>
    <w:rsid w:val="00A60E77"/>
    <w:rsid w:val="00A61C0F"/>
    <w:rsid w:val="00A63A39"/>
    <w:rsid w:val="00A641CA"/>
    <w:rsid w:val="00A6477F"/>
    <w:rsid w:val="00A65351"/>
    <w:rsid w:val="00A653E0"/>
    <w:rsid w:val="00A67195"/>
    <w:rsid w:val="00A703D4"/>
    <w:rsid w:val="00A70A35"/>
    <w:rsid w:val="00A70FCD"/>
    <w:rsid w:val="00A717BB"/>
    <w:rsid w:val="00A721DE"/>
    <w:rsid w:val="00A72A34"/>
    <w:rsid w:val="00A72A38"/>
    <w:rsid w:val="00A7471A"/>
    <w:rsid w:val="00A748D0"/>
    <w:rsid w:val="00A74C4E"/>
    <w:rsid w:val="00A7631E"/>
    <w:rsid w:val="00A77640"/>
    <w:rsid w:val="00A77B8C"/>
    <w:rsid w:val="00A77F28"/>
    <w:rsid w:val="00A80165"/>
    <w:rsid w:val="00A820B9"/>
    <w:rsid w:val="00A837B5"/>
    <w:rsid w:val="00A84340"/>
    <w:rsid w:val="00A84BDE"/>
    <w:rsid w:val="00A8548B"/>
    <w:rsid w:val="00A8675F"/>
    <w:rsid w:val="00A86E6E"/>
    <w:rsid w:val="00A90D0B"/>
    <w:rsid w:val="00A91E67"/>
    <w:rsid w:val="00A9228A"/>
    <w:rsid w:val="00A922CD"/>
    <w:rsid w:val="00A9257A"/>
    <w:rsid w:val="00A92A9C"/>
    <w:rsid w:val="00A93050"/>
    <w:rsid w:val="00A943DC"/>
    <w:rsid w:val="00A95F3B"/>
    <w:rsid w:val="00A95FA4"/>
    <w:rsid w:val="00A96A61"/>
    <w:rsid w:val="00A96E35"/>
    <w:rsid w:val="00A973A6"/>
    <w:rsid w:val="00A978E8"/>
    <w:rsid w:val="00AA036C"/>
    <w:rsid w:val="00AA0819"/>
    <w:rsid w:val="00AA0D73"/>
    <w:rsid w:val="00AA0ED7"/>
    <w:rsid w:val="00AA1D69"/>
    <w:rsid w:val="00AA1F56"/>
    <w:rsid w:val="00AA263B"/>
    <w:rsid w:val="00AA26B0"/>
    <w:rsid w:val="00AA2C88"/>
    <w:rsid w:val="00AA2D1D"/>
    <w:rsid w:val="00AA3181"/>
    <w:rsid w:val="00AA368B"/>
    <w:rsid w:val="00AA37FA"/>
    <w:rsid w:val="00AA38FA"/>
    <w:rsid w:val="00AA3A2E"/>
    <w:rsid w:val="00AA4271"/>
    <w:rsid w:val="00AA662B"/>
    <w:rsid w:val="00AA66FB"/>
    <w:rsid w:val="00AA6C3D"/>
    <w:rsid w:val="00AA7356"/>
    <w:rsid w:val="00AB02A9"/>
    <w:rsid w:val="00AB0613"/>
    <w:rsid w:val="00AB0D13"/>
    <w:rsid w:val="00AB10E2"/>
    <w:rsid w:val="00AB113A"/>
    <w:rsid w:val="00AB1199"/>
    <w:rsid w:val="00AB2019"/>
    <w:rsid w:val="00AB3077"/>
    <w:rsid w:val="00AB30B0"/>
    <w:rsid w:val="00AB43BE"/>
    <w:rsid w:val="00AB4EA5"/>
    <w:rsid w:val="00AB4F8A"/>
    <w:rsid w:val="00AB53EF"/>
    <w:rsid w:val="00AB571D"/>
    <w:rsid w:val="00AB5D99"/>
    <w:rsid w:val="00AB60DD"/>
    <w:rsid w:val="00AB67ED"/>
    <w:rsid w:val="00AB759A"/>
    <w:rsid w:val="00AC2795"/>
    <w:rsid w:val="00AC4A39"/>
    <w:rsid w:val="00AC523E"/>
    <w:rsid w:val="00AC5958"/>
    <w:rsid w:val="00AC59F6"/>
    <w:rsid w:val="00AC5D07"/>
    <w:rsid w:val="00AC64FA"/>
    <w:rsid w:val="00AC7C20"/>
    <w:rsid w:val="00AD035E"/>
    <w:rsid w:val="00AD0D16"/>
    <w:rsid w:val="00AD1526"/>
    <w:rsid w:val="00AD2204"/>
    <w:rsid w:val="00AD25D0"/>
    <w:rsid w:val="00AD291B"/>
    <w:rsid w:val="00AD2CD6"/>
    <w:rsid w:val="00AD335C"/>
    <w:rsid w:val="00AD3ADB"/>
    <w:rsid w:val="00AD4088"/>
    <w:rsid w:val="00AD5981"/>
    <w:rsid w:val="00AD5CE7"/>
    <w:rsid w:val="00AD7570"/>
    <w:rsid w:val="00AE055E"/>
    <w:rsid w:val="00AE0B81"/>
    <w:rsid w:val="00AE185E"/>
    <w:rsid w:val="00AE204D"/>
    <w:rsid w:val="00AE27CD"/>
    <w:rsid w:val="00AE2C2B"/>
    <w:rsid w:val="00AE2E3F"/>
    <w:rsid w:val="00AE3B63"/>
    <w:rsid w:val="00AE4C93"/>
    <w:rsid w:val="00AE5C44"/>
    <w:rsid w:val="00AE6FDD"/>
    <w:rsid w:val="00AE756A"/>
    <w:rsid w:val="00AE7EBC"/>
    <w:rsid w:val="00AF02CA"/>
    <w:rsid w:val="00AF036B"/>
    <w:rsid w:val="00AF0E47"/>
    <w:rsid w:val="00AF13B6"/>
    <w:rsid w:val="00AF1427"/>
    <w:rsid w:val="00AF1DE2"/>
    <w:rsid w:val="00AF3154"/>
    <w:rsid w:val="00AF4437"/>
    <w:rsid w:val="00AF496E"/>
    <w:rsid w:val="00AF4C4D"/>
    <w:rsid w:val="00AF6854"/>
    <w:rsid w:val="00AF7B8B"/>
    <w:rsid w:val="00AF7F1C"/>
    <w:rsid w:val="00B003E2"/>
    <w:rsid w:val="00B008A5"/>
    <w:rsid w:val="00B00B06"/>
    <w:rsid w:val="00B02EBD"/>
    <w:rsid w:val="00B03ED2"/>
    <w:rsid w:val="00B043B8"/>
    <w:rsid w:val="00B04CF1"/>
    <w:rsid w:val="00B054AE"/>
    <w:rsid w:val="00B056F1"/>
    <w:rsid w:val="00B06E06"/>
    <w:rsid w:val="00B0738C"/>
    <w:rsid w:val="00B07552"/>
    <w:rsid w:val="00B07579"/>
    <w:rsid w:val="00B07964"/>
    <w:rsid w:val="00B07E39"/>
    <w:rsid w:val="00B10A1B"/>
    <w:rsid w:val="00B10F8F"/>
    <w:rsid w:val="00B114DC"/>
    <w:rsid w:val="00B11EB5"/>
    <w:rsid w:val="00B12A1A"/>
    <w:rsid w:val="00B1395E"/>
    <w:rsid w:val="00B140D0"/>
    <w:rsid w:val="00B1516F"/>
    <w:rsid w:val="00B1525D"/>
    <w:rsid w:val="00B15303"/>
    <w:rsid w:val="00B1570B"/>
    <w:rsid w:val="00B15B68"/>
    <w:rsid w:val="00B15D22"/>
    <w:rsid w:val="00B16753"/>
    <w:rsid w:val="00B16D47"/>
    <w:rsid w:val="00B16FFA"/>
    <w:rsid w:val="00B210F2"/>
    <w:rsid w:val="00B21CE9"/>
    <w:rsid w:val="00B21D22"/>
    <w:rsid w:val="00B21F36"/>
    <w:rsid w:val="00B228AA"/>
    <w:rsid w:val="00B2374C"/>
    <w:rsid w:val="00B23AE4"/>
    <w:rsid w:val="00B24156"/>
    <w:rsid w:val="00B25456"/>
    <w:rsid w:val="00B267B6"/>
    <w:rsid w:val="00B269BA"/>
    <w:rsid w:val="00B26FDB"/>
    <w:rsid w:val="00B272BA"/>
    <w:rsid w:val="00B274E9"/>
    <w:rsid w:val="00B30369"/>
    <w:rsid w:val="00B30687"/>
    <w:rsid w:val="00B3099B"/>
    <w:rsid w:val="00B30EEB"/>
    <w:rsid w:val="00B31D33"/>
    <w:rsid w:val="00B31FDD"/>
    <w:rsid w:val="00B32C7D"/>
    <w:rsid w:val="00B32D58"/>
    <w:rsid w:val="00B32FA1"/>
    <w:rsid w:val="00B32FD5"/>
    <w:rsid w:val="00B33C35"/>
    <w:rsid w:val="00B34831"/>
    <w:rsid w:val="00B348FB"/>
    <w:rsid w:val="00B34FD3"/>
    <w:rsid w:val="00B364F1"/>
    <w:rsid w:val="00B36573"/>
    <w:rsid w:val="00B36CB3"/>
    <w:rsid w:val="00B376D4"/>
    <w:rsid w:val="00B4092C"/>
    <w:rsid w:val="00B41105"/>
    <w:rsid w:val="00B41DB0"/>
    <w:rsid w:val="00B41F83"/>
    <w:rsid w:val="00B42DAF"/>
    <w:rsid w:val="00B42FE8"/>
    <w:rsid w:val="00B44A39"/>
    <w:rsid w:val="00B4550F"/>
    <w:rsid w:val="00B45E7D"/>
    <w:rsid w:val="00B465AD"/>
    <w:rsid w:val="00B46652"/>
    <w:rsid w:val="00B46951"/>
    <w:rsid w:val="00B472BD"/>
    <w:rsid w:val="00B47EF5"/>
    <w:rsid w:val="00B50BB9"/>
    <w:rsid w:val="00B5164B"/>
    <w:rsid w:val="00B51F7E"/>
    <w:rsid w:val="00B523BD"/>
    <w:rsid w:val="00B52E6C"/>
    <w:rsid w:val="00B53993"/>
    <w:rsid w:val="00B5463E"/>
    <w:rsid w:val="00B54715"/>
    <w:rsid w:val="00B55CF3"/>
    <w:rsid w:val="00B55E0E"/>
    <w:rsid w:val="00B55F72"/>
    <w:rsid w:val="00B575B8"/>
    <w:rsid w:val="00B57B90"/>
    <w:rsid w:val="00B57DB0"/>
    <w:rsid w:val="00B62E09"/>
    <w:rsid w:val="00B63616"/>
    <w:rsid w:val="00B63DCE"/>
    <w:rsid w:val="00B643A8"/>
    <w:rsid w:val="00B658FB"/>
    <w:rsid w:val="00B65CEA"/>
    <w:rsid w:val="00B65F54"/>
    <w:rsid w:val="00B6622D"/>
    <w:rsid w:val="00B66AB1"/>
    <w:rsid w:val="00B7182C"/>
    <w:rsid w:val="00B7377F"/>
    <w:rsid w:val="00B74E55"/>
    <w:rsid w:val="00B74EE3"/>
    <w:rsid w:val="00B7518A"/>
    <w:rsid w:val="00B754AB"/>
    <w:rsid w:val="00B766A3"/>
    <w:rsid w:val="00B76A09"/>
    <w:rsid w:val="00B77799"/>
    <w:rsid w:val="00B778DC"/>
    <w:rsid w:val="00B77C3A"/>
    <w:rsid w:val="00B8043D"/>
    <w:rsid w:val="00B809A0"/>
    <w:rsid w:val="00B8146F"/>
    <w:rsid w:val="00B82069"/>
    <w:rsid w:val="00B827AE"/>
    <w:rsid w:val="00B829D7"/>
    <w:rsid w:val="00B82EE8"/>
    <w:rsid w:val="00B83B9C"/>
    <w:rsid w:val="00B84007"/>
    <w:rsid w:val="00B841B2"/>
    <w:rsid w:val="00B85063"/>
    <w:rsid w:val="00B85544"/>
    <w:rsid w:val="00B859FB"/>
    <w:rsid w:val="00B85FC4"/>
    <w:rsid w:val="00B860B0"/>
    <w:rsid w:val="00B86ADE"/>
    <w:rsid w:val="00B86F25"/>
    <w:rsid w:val="00B90A82"/>
    <w:rsid w:val="00B9111C"/>
    <w:rsid w:val="00B91420"/>
    <w:rsid w:val="00B914CF"/>
    <w:rsid w:val="00B91FEC"/>
    <w:rsid w:val="00B92102"/>
    <w:rsid w:val="00B92338"/>
    <w:rsid w:val="00B93695"/>
    <w:rsid w:val="00B938AD"/>
    <w:rsid w:val="00B93984"/>
    <w:rsid w:val="00B93BC2"/>
    <w:rsid w:val="00B95F59"/>
    <w:rsid w:val="00B967D6"/>
    <w:rsid w:val="00B96B30"/>
    <w:rsid w:val="00B9751D"/>
    <w:rsid w:val="00B975F0"/>
    <w:rsid w:val="00B97C00"/>
    <w:rsid w:val="00B97F44"/>
    <w:rsid w:val="00BA07DF"/>
    <w:rsid w:val="00BA0958"/>
    <w:rsid w:val="00BA10F4"/>
    <w:rsid w:val="00BA1AF9"/>
    <w:rsid w:val="00BA207C"/>
    <w:rsid w:val="00BA4BE9"/>
    <w:rsid w:val="00BA4F2F"/>
    <w:rsid w:val="00BA65C4"/>
    <w:rsid w:val="00BA7B6A"/>
    <w:rsid w:val="00BB0380"/>
    <w:rsid w:val="00BB2225"/>
    <w:rsid w:val="00BB2719"/>
    <w:rsid w:val="00BB2900"/>
    <w:rsid w:val="00BB2BC0"/>
    <w:rsid w:val="00BB2BE2"/>
    <w:rsid w:val="00BB2E3C"/>
    <w:rsid w:val="00BB40A7"/>
    <w:rsid w:val="00BB4ACF"/>
    <w:rsid w:val="00BB54C2"/>
    <w:rsid w:val="00BC00A3"/>
    <w:rsid w:val="00BC09C0"/>
    <w:rsid w:val="00BC0E0F"/>
    <w:rsid w:val="00BC121D"/>
    <w:rsid w:val="00BC1528"/>
    <w:rsid w:val="00BC190A"/>
    <w:rsid w:val="00BC2701"/>
    <w:rsid w:val="00BC2C47"/>
    <w:rsid w:val="00BC395E"/>
    <w:rsid w:val="00BC44FA"/>
    <w:rsid w:val="00BC4C40"/>
    <w:rsid w:val="00BC53F0"/>
    <w:rsid w:val="00BC6421"/>
    <w:rsid w:val="00BC6E4D"/>
    <w:rsid w:val="00BD1D0E"/>
    <w:rsid w:val="00BD1DFE"/>
    <w:rsid w:val="00BD2513"/>
    <w:rsid w:val="00BD2529"/>
    <w:rsid w:val="00BD2799"/>
    <w:rsid w:val="00BD33DB"/>
    <w:rsid w:val="00BD61B9"/>
    <w:rsid w:val="00BD6C07"/>
    <w:rsid w:val="00BD725C"/>
    <w:rsid w:val="00BD72EE"/>
    <w:rsid w:val="00BD7D63"/>
    <w:rsid w:val="00BE08A5"/>
    <w:rsid w:val="00BE41C8"/>
    <w:rsid w:val="00BE4755"/>
    <w:rsid w:val="00BE4ACC"/>
    <w:rsid w:val="00BE5076"/>
    <w:rsid w:val="00BE57F6"/>
    <w:rsid w:val="00BE5BB7"/>
    <w:rsid w:val="00BF093D"/>
    <w:rsid w:val="00BF0A74"/>
    <w:rsid w:val="00BF0AD8"/>
    <w:rsid w:val="00BF0B5F"/>
    <w:rsid w:val="00BF220A"/>
    <w:rsid w:val="00BF2997"/>
    <w:rsid w:val="00BF3E65"/>
    <w:rsid w:val="00BF41B7"/>
    <w:rsid w:val="00BF4653"/>
    <w:rsid w:val="00BF4B59"/>
    <w:rsid w:val="00BF5206"/>
    <w:rsid w:val="00BF541E"/>
    <w:rsid w:val="00BF55E9"/>
    <w:rsid w:val="00BF57FA"/>
    <w:rsid w:val="00BF6577"/>
    <w:rsid w:val="00BF6D53"/>
    <w:rsid w:val="00BF7692"/>
    <w:rsid w:val="00C00600"/>
    <w:rsid w:val="00C00CA1"/>
    <w:rsid w:val="00C0149A"/>
    <w:rsid w:val="00C014B5"/>
    <w:rsid w:val="00C020B3"/>
    <w:rsid w:val="00C042DF"/>
    <w:rsid w:val="00C04607"/>
    <w:rsid w:val="00C0478A"/>
    <w:rsid w:val="00C048FB"/>
    <w:rsid w:val="00C04B41"/>
    <w:rsid w:val="00C04C8E"/>
    <w:rsid w:val="00C0595C"/>
    <w:rsid w:val="00C06669"/>
    <w:rsid w:val="00C06EA1"/>
    <w:rsid w:val="00C07D13"/>
    <w:rsid w:val="00C07EE2"/>
    <w:rsid w:val="00C102B4"/>
    <w:rsid w:val="00C107BF"/>
    <w:rsid w:val="00C1200F"/>
    <w:rsid w:val="00C12277"/>
    <w:rsid w:val="00C1251B"/>
    <w:rsid w:val="00C1324F"/>
    <w:rsid w:val="00C13528"/>
    <w:rsid w:val="00C13569"/>
    <w:rsid w:val="00C158E6"/>
    <w:rsid w:val="00C1607A"/>
    <w:rsid w:val="00C160F9"/>
    <w:rsid w:val="00C164C2"/>
    <w:rsid w:val="00C1691A"/>
    <w:rsid w:val="00C1704D"/>
    <w:rsid w:val="00C175FB"/>
    <w:rsid w:val="00C17F19"/>
    <w:rsid w:val="00C22BE0"/>
    <w:rsid w:val="00C22C43"/>
    <w:rsid w:val="00C23AA5"/>
    <w:rsid w:val="00C23E07"/>
    <w:rsid w:val="00C23EE7"/>
    <w:rsid w:val="00C24CDF"/>
    <w:rsid w:val="00C251E3"/>
    <w:rsid w:val="00C26A44"/>
    <w:rsid w:val="00C26E84"/>
    <w:rsid w:val="00C30468"/>
    <w:rsid w:val="00C310EC"/>
    <w:rsid w:val="00C32817"/>
    <w:rsid w:val="00C328E4"/>
    <w:rsid w:val="00C3362D"/>
    <w:rsid w:val="00C33D3E"/>
    <w:rsid w:val="00C348C5"/>
    <w:rsid w:val="00C34D5B"/>
    <w:rsid w:val="00C354F8"/>
    <w:rsid w:val="00C35B89"/>
    <w:rsid w:val="00C35E00"/>
    <w:rsid w:val="00C36359"/>
    <w:rsid w:val="00C371A6"/>
    <w:rsid w:val="00C37760"/>
    <w:rsid w:val="00C379E1"/>
    <w:rsid w:val="00C37E9A"/>
    <w:rsid w:val="00C37F4E"/>
    <w:rsid w:val="00C419F8"/>
    <w:rsid w:val="00C423B2"/>
    <w:rsid w:val="00C42D8C"/>
    <w:rsid w:val="00C430C9"/>
    <w:rsid w:val="00C44612"/>
    <w:rsid w:val="00C4490C"/>
    <w:rsid w:val="00C44F9D"/>
    <w:rsid w:val="00C45044"/>
    <w:rsid w:val="00C457A0"/>
    <w:rsid w:val="00C47C79"/>
    <w:rsid w:val="00C50FA1"/>
    <w:rsid w:val="00C510A3"/>
    <w:rsid w:val="00C51297"/>
    <w:rsid w:val="00C51D7D"/>
    <w:rsid w:val="00C522E4"/>
    <w:rsid w:val="00C5243A"/>
    <w:rsid w:val="00C52B08"/>
    <w:rsid w:val="00C52F7B"/>
    <w:rsid w:val="00C548C0"/>
    <w:rsid w:val="00C55462"/>
    <w:rsid w:val="00C55EF3"/>
    <w:rsid w:val="00C56BDE"/>
    <w:rsid w:val="00C57917"/>
    <w:rsid w:val="00C608C1"/>
    <w:rsid w:val="00C60A69"/>
    <w:rsid w:val="00C6108D"/>
    <w:rsid w:val="00C616BD"/>
    <w:rsid w:val="00C61F8B"/>
    <w:rsid w:val="00C6257E"/>
    <w:rsid w:val="00C62F38"/>
    <w:rsid w:val="00C638F9"/>
    <w:rsid w:val="00C64C31"/>
    <w:rsid w:val="00C6536D"/>
    <w:rsid w:val="00C660E1"/>
    <w:rsid w:val="00C66DAA"/>
    <w:rsid w:val="00C67AE3"/>
    <w:rsid w:val="00C7068D"/>
    <w:rsid w:val="00C7196B"/>
    <w:rsid w:val="00C71B8E"/>
    <w:rsid w:val="00C720A3"/>
    <w:rsid w:val="00C72D8F"/>
    <w:rsid w:val="00C73DD6"/>
    <w:rsid w:val="00C7539F"/>
    <w:rsid w:val="00C75C72"/>
    <w:rsid w:val="00C76097"/>
    <w:rsid w:val="00C76CD8"/>
    <w:rsid w:val="00C774BC"/>
    <w:rsid w:val="00C8050B"/>
    <w:rsid w:val="00C80C38"/>
    <w:rsid w:val="00C80E2D"/>
    <w:rsid w:val="00C81473"/>
    <w:rsid w:val="00C83D8B"/>
    <w:rsid w:val="00C83ED5"/>
    <w:rsid w:val="00C860BA"/>
    <w:rsid w:val="00C87054"/>
    <w:rsid w:val="00C87769"/>
    <w:rsid w:val="00C87830"/>
    <w:rsid w:val="00C87BFE"/>
    <w:rsid w:val="00C90741"/>
    <w:rsid w:val="00C90B60"/>
    <w:rsid w:val="00C90D29"/>
    <w:rsid w:val="00C91DD6"/>
    <w:rsid w:val="00C92C24"/>
    <w:rsid w:val="00C936F9"/>
    <w:rsid w:val="00C93D11"/>
    <w:rsid w:val="00C961F3"/>
    <w:rsid w:val="00C965F6"/>
    <w:rsid w:val="00C978B2"/>
    <w:rsid w:val="00CA0642"/>
    <w:rsid w:val="00CA0E1B"/>
    <w:rsid w:val="00CA231A"/>
    <w:rsid w:val="00CA2388"/>
    <w:rsid w:val="00CA2615"/>
    <w:rsid w:val="00CA3152"/>
    <w:rsid w:val="00CA382E"/>
    <w:rsid w:val="00CA4189"/>
    <w:rsid w:val="00CA4229"/>
    <w:rsid w:val="00CA5543"/>
    <w:rsid w:val="00CA5874"/>
    <w:rsid w:val="00CA6440"/>
    <w:rsid w:val="00CB08AD"/>
    <w:rsid w:val="00CB0C5E"/>
    <w:rsid w:val="00CB361A"/>
    <w:rsid w:val="00CB364F"/>
    <w:rsid w:val="00CB4278"/>
    <w:rsid w:val="00CB4A9D"/>
    <w:rsid w:val="00CB4F56"/>
    <w:rsid w:val="00CB5095"/>
    <w:rsid w:val="00CB58E6"/>
    <w:rsid w:val="00CB6D72"/>
    <w:rsid w:val="00CB73FA"/>
    <w:rsid w:val="00CB73FE"/>
    <w:rsid w:val="00CB78EB"/>
    <w:rsid w:val="00CC250D"/>
    <w:rsid w:val="00CC252B"/>
    <w:rsid w:val="00CC3CC5"/>
    <w:rsid w:val="00CC40F6"/>
    <w:rsid w:val="00CC41F9"/>
    <w:rsid w:val="00CC4E12"/>
    <w:rsid w:val="00CC5B6D"/>
    <w:rsid w:val="00CC5C7C"/>
    <w:rsid w:val="00CC5CF0"/>
    <w:rsid w:val="00CC74FA"/>
    <w:rsid w:val="00CD0CBD"/>
    <w:rsid w:val="00CD1629"/>
    <w:rsid w:val="00CD3A96"/>
    <w:rsid w:val="00CD3C0C"/>
    <w:rsid w:val="00CD45DA"/>
    <w:rsid w:val="00CD58E2"/>
    <w:rsid w:val="00CD5FCC"/>
    <w:rsid w:val="00CD7597"/>
    <w:rsid w:val="00CE07AC"/>
    <w:rsid w:val="00CE0DF1"/>
    <w:rsid w:val="00CE148D"/>
    <w:rsid w:val="00CE14BD"/>
    <w:rsid w:val="00CE152A"/>
    <w:rsid w:val="00CE1DE7"/>
    <w:rsid w:val="00CE2C69"/>
    <w:rsid w:val="00CE3306"/>
    <w:rsid w:val="00CE3DB8"/>
    <w:rsid w:val="00CE42EC"/>
    <w:rsid w:val="00CE46E4"/>
    <w:rsid w:val="00CE59A5"/>
    <w:rsid w:val="00CE5AD4"/>
    <w:rsid w:val="00CE5D5E"/>
    <w:rsid w:val="00CE6E60"/>
    <w:rsid w:val="00CF111B"/>
    <w:rsid w:val="00CF19D6"/>
    <w:rsid w:val="00CF21C3"/>
    <w:rsid w:val="00CF3149"/>
    <w:rsid w:val="00CF4F17"/>
    <w:rsid w:val="00CF617D"/>
    <w:rsid w:val="00CF67C1"/>
    <w:rsid w:val="00CF6AF6"/>
    <w:rsid w:val="00CF727A"/>
    <w:rsid w:val="00CF73CA"/>
    <w:rsid w:val="00D001A6"/>
    <w:rsid w:val="00D0043E"/>
    <w:rsid w:val="00D00B32"/>
    <w:rsid w:val="00D01204"/>
    <w:rsid w:val="00D012EB"/>
    <w:rsid w:val="00D0192A"/>
    <w:rsid w:val="00D01B17"/>
    <w:rsid w:val="00D02F93"/>
    <w:rsid w:val="00D030A2"/>
    <w:rsid w:val="00D03556"/>
    <w:rsid w:val="00D03B99"/>
    <w:rsid w:val="00D041D4"/>
    <w:rsid w:val="00D055FA"/>
    <w:rsid w:val="00D05E85"/>
    <w:rsid w:val="00D07E5C"/>
    <w:rsid w:val="00D10057"/>
    <w:rsid w:val="00D1007C"/>
    <w:rsid w:val="00D11D0E"/>
    <w:rsid w:val="00D127EE"/>
    <w:rsid w:val="00D12CBA"/>
    <w:rsid w:val="00D143A9"/>
    <w:rsid w:val="00D14817"/>
    <w:rsid w:val="00D14F94"/>
    <w:rsid w:val="00D15219"/>
    <w:rsid w:val="00D15FC2"/>
    <w:rsid w:val="00D164EA"/>
    <w:rsid w:val="00D16530"/>
    <w:rsid w:val="00D16CED"/>
    <w:rsid w:val="00D175A9"/>
    <w:rsid w:val="00D176CB"/>
    <w:rsid w:val="00D200D6"/>
    <w:rsid w:val="00D2020A"/>
    <w:rsid w:val="00D20843"/>
    <w:rsid w:val="00D20D04"/>
    <w:rsid w:val="00D21E04"/>
    <w:rsid w:val="00D2314A"/>
    <w:rsid w:val="00D24D52"/>
    <w:rsid w:val="00D25490"/>
    <w:rsid w:val="00D31178"/>
    <w:rsid w:val="00D32B8D"/>
    <w:rsid w:val="00D32D26"/>
    <w:rsid w:val="00D33F51"/>
    <w:rsid w:val="00D35983"/>
    <w:rsid w:val="00D3601C"/>
    <w:rsid w:val="00D362F7"/>
    <w:rsid w:val="00D36B87"/>
    <w:rsid w:val="00D36BC4"/>
    <w:rsid w:val="00D37692"/>
    <w:rsid w:val="00D400CA"/>
    <w:rsid w:val="00D41978"/>
    <w:rsid w:val="00D428B0"/>
    <w:rsid w:val="00D4302F"/>
    <w:rsid w:val="00D44BDD"/>
    <w:rsid w:val="00D45026"/>
    <w:rsid w:val="00D45DAF"/>
    <w:rsid w:val="00D47BA1"/>
    <w:rsid w:val="00D5146E"/>
    <w:rsid w:val="00D5196E"/>
    <w:rsid w:val="00D51B86"/>
    <w:rsid w:val="00D51CB2"/>
    <w:rsid w:val="00D51FA0"/>
    <w:rsid w:val="00D521A1"/>
    <w:rsid w:val="00D5298E"/>
    <w:rsid w:val="00D52C71"/>
    <w:rsid w:val="00D544B8"/>
    <w:rsid w:val="00D555B3"/>
    <w:rsid w:val="00D55C04"/>
    <w:rsid w:val="00D57711"/>
    <w:rsid w:val="00D57726"/>
    <w:rsid w:val="00D57782"/>
    <w:rsid w:val="00D57D2E"/>
    <w:rsid w:val="00D60243"/>
    <w:rsid w:val="00D6059A"/>
    <w:rsid w:val="00D6071F"/>
    <w:rsid w:val="00D60C74"/>
    <w:rsid w:val="00D6175B"/>
    <w:rsid w:val="00D61994"/>
    <w:rsid w:val="00D6273D"/>
    <w:rsid w:val="00D63C91"/>
    <w:rsid w:val="00D6519D"/>
    <w:rsid w:val="00D65F3E"/>
    <w:rsid w:val="00D6725E"/>
    <w:rsid w:val="00D67EE9"/>
    <w:rsid w:val="00D70E8C"/>
    <w:rsid w:val="00D710D4"/>
    <w:rsid w:val="00D7136C"/>
    <w:rsid w:val="00D72152"/>
    <w:rsid w:val="00D72D53"/>
    <w:rsid w:val="00D73580"/>
    <w:rsid w:val="00D73BB2"/>
    <w:rsid w:val="00D73C11"/>
    <w:rsid w:val="00D74CF0"/>
    <w:rsid w:val="00D74F48"/>
    <w:rsid w:val="00D7546D"/>
    <w:rsid w:val="00D75DF0"/>
    <w:rsid w:val="00D765DC"/>
    <w:rsid w:val="00D7712E"/>
    <w:rsid w:val="00D77FED"/>
    <w:rsid w:val="00D8056F"/>
    <w:rsid w:val="00D813AC"/>
    <w:rsid w:val="00D83783"/>
    <w:rsid w:val="00D85772"/>
    <w:rsid w:val="00D90164"/>
    <w:rsid w:val="00D90383"/>
    <w:rsid w:val="00D90480"/>
    <w:rsid w:val="00D9112C"/>
    <w:rsid w:val="00D92D3D"/>
    <w:rsid w:val="00D92ED6"/>
    <w:rsid w:val="00D932CF"/>
    <w:rsid w:val="00D93652"/>
    <w:rsid w:val="00D94134"/>
    <w:rsid w:val="00D95CFD"/>
    <w:rsid w:val="00D960D2"/>
    <w:rsid w:val="00DA1225"/>
    <w:rsid w:val="00DA1650"/>
    <w:rsid w:val="00DA1F40"/>
    <w:rsid w:val="00DA2EA1"/>
    <w:rsid w:val="00DA3882"/>
    <w:rsid w:val="00DA49A6"/>
    <w:rsid w:val="00DA57E7"/>
    <w:rsid w:val="00DA6A3D"/>
    <w:rsid w:val="00DA7422"/>
    <w:rsid w:val="00DA78B8"/>
    <w:rsid w:val="00DB025A"/>
    <w:rsid w:val="00DB22E0"/>
    <w:rsid w:val="00DB25AB"/>
    <w:rsid w:val="00DB2CD5"/>
    <w:rsid w:val="00DB2CEC"/>
    <w:rsid w:val="00DB38D1"/>
    <w:rsid w:val="00DB4915"/>
    <w:rsid w:val="00DB4CD1"/>
    <w:rsid w:val="00DB6267"/>
    <w:rsid w:val="00DB64CA"/>
    <w:rsid w:val="00DB6583"/>
    <w:rsid w:val="00DB69EE"/>
    <w:rsid w:val="00DC0210"/>
    <w:rsid w:val="00DC1456"/>
    <w:rsid w:val="00DC20C3"/>
    <w:rsid w:val="00DC28FF"/>
    <w:rsid w:val="00DC293D"/>
    <w:rsid w:val="00DC2950"/>
    <w:rsid w:val="00DC2F94"/>
    <w:rsid w:val="00DC302F"/>
    <w:rsid w:val="00DC38C6"/>
    <w:rsid w:val="00DC3D9F"/>
    <w:rsid w:val="00DC5454"/>
    <w:rsid w:val="00DC5955"/>
    <w:rsid w:val="00DC59CB"/>
    <w:rsid w:val="00DC61FD"/>
    <w:rsid w:val="00DC6CCB"/>
    <w:rsid w:val="00DD16E6"/>
    <w:rsid w:val="00DD18FD"/>
    <w:rsid w:val="00DD1ECE"/>
    <w:rsid w:val="00DD4704"/>
    <w:rsid w:val="00DD4741"/>
    <w:rsid w:val="00DD4780"/>
    <w:rsid w:val="00DD4DD5"/>
    <w:rsid w:val="00DD544F"/>
    <w:rsid w:val="00DD7986"/>
    <w:rsid w:val="00DE007C"/>
    <w:rsid w:val="00DE100A"/>
    <w:rsid w:val="00DE1404"/>
    <w:rsid w:val="00DE1903"/>
    <w:rsid w:val="00DE3D29"/>
    <w:rsid w:val="00DE40CA"/>
    <w:rsid w:val="00DE67EE"/>
    <w:rsid w:val="00DE7169"/>
    <w:rsid w:val="00DE71C8"/>
    <w:rsid w:val="00DE786E"/>
    <w:rsid w:val="00DF0712"/>
    <w:rsid w:val="00DF0D35"/>
    <w:rsid w:val="00DF0F4E"/>
    <w:rsid w:val="00DF207B"/>
    <w:rsid w:val="00DF25BA"/>
    <w:rsid w:val="00DF2E9F"/>
    <w:rsid w:val="00DF3889"/>
    <w:rsid w:val="00DF4F36"/>
    <w:rsid w:val="00DF5552"/>
    <w:rsid w:val="00DF57C2"/>
    <w:rsid w:val="00DF6E58"/>
    <w:rsid w:val="00DF7761"/>
    <w:rsid w:val="00DF79E3"/>
    <w:rsid w:val="00E009AC"/>
    <w:rsid w:val="00E01C4D"/>
    <w:rsid w:val="00E01EFC"/>
    <w:rsid w:val="00E01F7A"/>
    <w:rsid w:val="00E030CD"/>
    <w:rsid w:val="00E03970"/>
    <w:rsid w:val="00E0521C"/>
    <w:rsid w:val="00E05584"/>
    <w:rsid w:val="00E0586C"/>
    <w:rsid w:val="00E06132"/>
    <w:rsid w:val="00E06661"/>
    <w:rsid w:val="00E06B2C"/>
    <w:rsid w:val="00E07859"/>
    <w:rsid w:val="00E079DC"/>
    <w:rsid w:val="00E07C8C"/>
    <w:rsid w:val="00E10E1F"/>
    <w:rsid w:val="00E10EE7"/>
    <w:rsid w:val="00E1157C"/>
    <w:rsid w:val="00E12620"/>
    <w:rsid w:val="00E1266E"/>
    <w:rsid w:val="00E12EFF"/>
    <w:rsid w:val="00E12FC3"/>
    <w:rsid w:val="00E13043"/>
    <w:rsid w:val="00E13351"/>
    <w:rsid w:val="00E13499"/>
    <w:rsid w:val="00E137B2"/>
    <w:rsid w:val="00E13FD4"/>
    <w:rsid w:val="00E142CD"/>
    <w:rsid w:val="00E14792"/>
    <w:rsid w:val="00E14A30"/>
    <w:rsid w:val="00E15BD5"/>
    <w:rsid w:val="00E166CC"/>
    <w:rsid w:val="00E166F8"/>
    <w:rsid w:val="00E16ECA"/>
    <w:rsid w:val="00E17870"/>
    <w:rsid w:val="00E20968"/>
    <w:rsid w:val="00E20F55"/>
    <w:rsid w:val="00E210BD"/>
    <w:rsid w:val="00E218C3"/>
    <w:rsid w:val="00E21E3D"/>
    <w:rsid w:val="00E22901"/>
    <w:rsid w:val="00E229BA"/>
    <w:rsid w:val="00E22A29"/>
    <w:rsid w:val="00E24015"/>
    <w:rsid w:val="00E246CD"/>
    <w:rsid w:val="00E256BC"/>
    <w:rsid w:val="00E25CE5"/>
    <w:rsid w:val="00E26710"/>
    <w:rsid w:val="00E26AB0"/>
    <w:rsid w:val="00E26FDA"/>
    <w:rsid w:val="00E27112"/>
    <w:rsid w:val="00E27A4E"/>
    <w:rsid w:val="00E30EC3"/>
    <w:rsid w:val="00E321C3"/>
    <w:rsid w:val="00E32700"/>
    <w:rsid w:val="00E32A39"/>
    <w:rsid w:val="00E32AF0"/>
    <w:rsid w:val="00E32E6A"/>
    <w:rsid w:val="00E3468F"/>
    <w:rsid w:val="00E34B73"/>
    <w:rsid w:val="00E35442"/>
    <w:rsid w:val="00E356A0"/>
    <w:rsid w:val="00E3590D"/>
    <w:rsid w:val="00E36B85"/>
    <w:rsid w:val="00E36BF9"/>
    <w:rsid w:val="00E3721D"/>
    <w:rsid w:val="00E37854"/>
    <w:rsid w:val="00E37EAA"/>
    <w:rsid w:val="00E406E6"/>
    <w:rsid w:val="00E406F4"/>
    <w:rsid w:val="00E40A6E"/>
    <w:rsid w:val="00E40EE9"/>
    <w:rsid w:val="00E41CAA"/>
    <w:rsid w:val="00E42241"/>
    <w:rsid w:val="00E433C0"/>
    <w:rsid w:val="00E44AC1"/>
    <w:rsid w:val="00E45E41"/>
    <w:rsid w:val="00E45FC8"/>
    <w:rsid w:val="00E46DC6"/>
    <w:rsid w:val="00E51218"/>
    <w:rsid w:val="00E51E84"/>
    <w:rsid w:val="00E5240D"/>
    <w:rsid w:val="00E529B1"/>
    <w:rsid w:val="00E541B4"/>
    <w:rsid w:val="00E5420E"/>
    <w:rsid w:val="00E542CE"/>
    <w:rsid w:val="00E54DC7"/>
    <w:rsid w:val="00E56013"/>
    <w:rsid w:val="00E5786E"/>
    <w:rsid w:val="00E57BDC"/>
    <w:rsid w:val="00E60ADD"/>
    <w:rsid w:val="00E60CA4"/>
    <w:rsid w:val="00E633C1"/>
    <w:rsid w:val="00E63CCE"/>
    <w:rsid w:val="00E6506C"/>
    <w:rsid w:val="00E655D5"/>
    <w:rsid w:val="00E70764"/>
    <w:rsid w:val="00E7083A"/>
    <w:rsid w:val="00E70DFA"/>
    <w:rsid w:val="00E725B8"/>
    <w:rsid w:val="00E740FC"/>
    <w:rsid w:val="00E744ED"/>
    <w:rsid w:val="00E75943"/>
    <w:rsid w:val="00E76680"/>
    <w:rsid w:val="00E7758E"/>
    <w:rsid w:val="00E808EE"/>
    <w:rsid w:val="00E808FF"/>
    <w:rsid w:val="00E80A2F"/>
    <w:rsid w:val="00E80F70"/>
    <w:rsid w:val="00E81046"/>
    <w:rsid w:val="00E81086"/>
    <w:rsid w:val="00E814AC"/>
    <w:rsid w:val="00E82874"/>
    <w:rsid w:val="00E82EFC"/>
    <w:rsid w:val="00E845D7"/>
    <w:rsid w:val="00E851A3"/>
    <w:rsid w:val="00E85A49"/>
    <w:rsid w:val="00E85CD0"/>
    <w:rsid w:val="00E85D66"/>
    <w:rsid w:val="00E860E5"/>
    <w:rsid w:val="00E862DE"/>
    <w:rsid w:val="00E866CC"/>
    <w:rsid w:val="00E86724"/>
    <w:rsid w:val="00E90362"/>
    <w:rsid w:val="00E90644"/>
    <w:rsid w:val="00E90C07"/>
    <w:rsid w:val="00E912EE"/>
    <w:rsid w:val="00E934FB"/>
    <w:rsid w:val="00E93AD4"/>
    <w:rsid w:val="00E941AB"/>
    <w:rsid w:val="00E943C4"/>
    <w:rsid w:val="00E9471D"/>
    <w:rsid w:val="00E94849"/>
    <w:rsid w:val="00E94B50"/>
    <w:rsid w:val="00E9565E"/>
    <w:rsid w:val="00EA0E8C"/>
    <w:rsid w:val="00EA1099"/>
    <w:rsid w:val="00EA10D4"/>
    <w:rsid w:val="00EA13EA"/>
    <w:rsid w:val="00EA439B"/>
    <w:rsid w:val="00EA49AB"/>
    <w:rsid w:val="00EA5A0D"/>
    <w:rsid w:val="00EA645A"/>
    <w:rsid w:val="00EA6A3B"/>
    <w:rsid w:val="00EA70E5"/>
    <w:rsid w:val="00EA7B78"/>
    <w:rsid w:val="00EB0BDA"/>
    <w:rsid w:val="00EB1C74"/>
    <w:rsid w:val="00EB1CC6"/>
    <w:rsid w:val="00EB3A11"/>
    <w:rsid w:val="00EB44E5"/>
    <w:rsid w:val="00EB4CE7"/>
    <w:rsid w:val="00EB528B"/>
    <w:rsid w:val="00EB6A94"/>
    <w:rsid w:val="00EB6D3F"/>
    <w:rsid w:val="00EB6DF8"/>
    <w:rsid w:val="00EB74AE"/>
    <w:rsid w:val="00EB762F"/>
    <w:rsid w:val="00EB7954"/>
    <w:rsid w:val="00EB7C60"/>
    <w:rsid w:val="00EC0535"/>
    <w:rsid w:val="00EC27B2"/>
    <w:rsid w:val="00EC2BF7"/>
    <w:rsid w:val="00EC3014"/>
    <w:rsid w:val="00EC3F61"/>
    <w:rsid w:val="00EC475A"/>
    <w:rsid w:val="00EC54E2"/>
    <w:rsid w:val="00EC5AB1"/>
    <w:rsid w:val="00EC5AEB"/>
    <w:rsid w:val="00EC5D52"/>
    <w:rsid w:val="00EC639E"/>
    <w:rsid w:val="00EC65F0"/>
    <w:rsid w:val="00EC730A"/>
    <w:rsid w:val="00ED0020"/>
    <w:rsid w:val="00ED0B43"/>
    <w:rsid w:val="00ED0F72"/>
    <w:rsid w:val="00ED16E3"/>
    <w:rsid w:val="00ED2E07"/>
    <w:rsid w:val="00ED3F9F"/>
    <w:rsid w:val="00ED43D6"/>
    <w:rsid w:val="00ED4CFA"/>
    <w:rsid w:val="00ED676B"/>
    <w:rsid w:val="00EE0072"/>
    <w:rsid w:val="00EE050B"/>
    <w:rsid w:val="00EE0A0D"/>
    <w:rsid w:val="00EE0BD6"/>
    <w:rsid w:val="00EE10E6"/>
    <w:rsid w:val="00EE1586"/>
    <w:rsid w:val="00EE2FE6"/>
    <w:rsid w:val="00EE4BFB"/>
    <w:rsid w:val="00EE58D5"/>
    <w:rsid w:val="00EE66B0"/>
    <w:rsid w:val="00EE691B"/>
    <w:rsid w:val="00EE7521"/>
    <w:rsid w:val="00EE78F5"/>
    <w:rsid w:val="00EE7C0F"/>
    <w:rsid w:val="00EF01F4"/>
    <w:rsid w:val="00EF3412"/>
    <w:rsid w:val="00EF3DB0"/>
    <w:rsid w:val="00EF4DDE"/>
    <w:rsid w:val="00EF5435"/>
    <w:rsid w:val="00EF6330"/>
    <w:rsid w:val="00EF715F"/>
    <w:rsid w:val="00EF748A"/>
    <w:rsid w:val="00EF7F77"/>
    <w:rsid w:val="00F001FA"/>
    <w:rsid w:val="00F00482"/>
    <w:rsid w:val="00F0057F"/>
    <w:rsid w:val="00F006C2"/>
    <w:rsid w:val="00F01B4B"/>
    <w:rsid w:val="00F0294E"/>
    <w:rsid w:val="00F0385C"/>
    <w:rsid w:val="00F03D7B"/>
    <w:rsid w:val="00F04781"/>
    <w:rsid w:val="00F04917"/>
    <w:rsid w:val="00F064C3"/>
    <w:rsid w:val="00F10002"/>
    <w:rsid w:val="00F10C7B"/>
    <w:rsid w:val="00F10FEA"/>
    <w:rsid w:val="00F110F6"/>
    <w:rsid w:val="00F112CE"/>
    <w:rsid w:val="00F120A3"/>
    <w:rsid w:val="00F121F5"/>
    <w:rsid w:val="00F12721"/>
    <w:rsid w:val="00F12A52"/>
    <w:rsid w:val="00F12D6A"/>
    <w:rsid w:val="00F1510C"/>
    <w:rsid w:val="00F17173"/>
    <w:rsid w:val="00F20173"/>
    <w:rsid w:val="00F22BD5"/>
    <w:rsid w:val="00F22DC6"/>
    <w:rsid w:val="00F23DAF"/>
    <w:rsid w:val="00F24258"/>
    <w:rsid w:val="00F243BF"/>
    <w:rsid w:val="00F26112"/>
    <w:rsid w:val="00F26C87"/>
    <w:rsid w:val="00F27099"/>
    <w:rsid w:val="00F278F7"/>
    <w:rsid w:val="00F30573"/>
    <w:rsid w:val="00F30CE4"/>
    <w:rsid w:val="00F310D1"/>
    <w:rsid w:val="00F314C5"/>
    <w:rsid w:val="00F31B2A"/>
    <w:rsid w:val="00F321CC"/>
    <w:rsid w:val="00F324BA"/>
    <w:rsid w:val="00F32A49"/>
    <w:rsid w:val="00F32D54"/>
    <w:rsid w:val="00F32E73"/>
    <w:rsid w:val="00F33891"/>
    <w:rsid w:val="00F352ED"/>
    <w:rsid w:val="00F35F45"/>
    <w:rsid w:val="00F36BC1"/>
    <w:rsid w:val="00F37847"/>
    <w:rsid w:val="00F37C96"/>
    <w:rsid w:val="00F40BF1"/>
    <w:rsid w:val="00F40E3E"/>
    <w:rsid w:val="00F41339"/>
    <w:rsid w:val="00F4178B"/>
    <w:rsid w:val="00F41A08"/>
    <w:rsid w:val="00F41C37"/>
    <w:rsid w:val="00F427C6"/>
    <w:rsid w:val="00F42A95"/>
    <w:rsid w:val="00F43322"/>
    <w:rsid w:val="00F4459F"/>
    <w:rsid w:val="00F44DE3"/>
    <w:rsid w:val="00F4528F"/>
    <w:rsid w:val="00F45726"/>
    <w:rsid w:val="00F47FBD"/>
    <w:rsid w:val="00F50026"/>
    <w:rsid w:val="00F51DD0"/>
    <w:rsid w:val="00F52A4C"/>
    <w:rsid w:val="00F540B4"/>
    <w:rsid w:val="00F5423B"/>
    <w:rsid w:val="00F551E8"/>
    <w:rsid w:val="00F55F7F"/>
    <w:rsid w:val="00F56748"/>
    <w:rsid w:val="00F57CB4"/>
    <w:rsid w:val="00F57CF5"/>
    <w:rsid w:val="00F57D17"/>
    <w:rsid w:val="00F6034E"/>
    <w:rsid w:val="00F618CE"/>
    <w:rsid w:val="00F620D3"/>
    <w:rsid w:val="00F632BE"/>
    <w:rsid w:val="00F6336D"/>
    <w:rsid w:val="00F63A72"/>
    <w:rsid w:val="00F64753"/>
    <w:rsid w:val="00F65911"/>
    <w:rsid w:val="00F65EAD"/>
    <w:rsid w:val="00F6605C"/>
    <w:rsid w:val="00F66B34"/>
    <w:rsid w:val="00F66CB8"/>
    <w:rsid w:val="00F6765E"/>
    <w:rsid w:val="00F67B30"/>
    <w:rsid w:val="00F67DBA"/>
    <w:rsid w:val="00F70179"/>
    <w:rsid w:val="00F70DA7"/>
    <w:rsid w:val="00F70FC2"/>
    <w:rsid w:val="00F71F86"/>
    <w:rsid w:val="00F72E75"/>
    <w:rsid w:val="00F74515"/>
    <w:rsid w:val="00F74CA7"/>
    <w:rsid w:val="00F756C1"/>
    <w:rsid w:val="00F77525"/>
    <w:rsid w:val="00F77D63"/>
    <w:rsid w:val="00F81E97"/>
    <w:rsid w:val="00F8266D"/>
    <w:rsid w:val="00F829C5"/>
    <w:rsid w:val="00F8385F"/>
    <w:rsid w:val="00F84471"/>
    <w:rsid w:val="00F847ED"/>
    <w:rsid w:val="00F847F3"/>
    <w:rsid w:val="00F849E8"/>
    <w:rsid w:val="00F8505C"/>
    <w:rsid w:val="00F85CB5"/>
    <w:rsid w:val="00F8630B"/>
    <w:rsid w:val="00F86F8D"/>
    <w:rsid w:val="00F873F4"/>
    <w:rsid w:val="00F90C73"/>
    <w:rsid w:val="00F9165B"/>
    <w:rsid w:val="00F91C41"/>
    <w:rsid w:val="00F91EB6"/>
    <w:rsid w:val="00F929EF"/>
    <w:rsid w:val="00F93749"/>
    <w:rsid w:val="00F94A50"/>
    <w:rsid w:val="00F94AF8"/>
    <w:rsid w:val="00F951F7"/>
    <w:rsid w:val="00F9647B"/>
    <w:rsid w:val="00FA156F"/>
    <w:rsid w:val="00FA1DED"/>
    <w:rsid w:val="00FA2023"/>
    <w:rsid w:val="00FA2E9C"/>
    <w:rsid w:val="00FA35FB"/>
    <w:rsid w:val="00FA3ED5"/>
    <w:rsid w:val="00FA41F1"/>
    <w:rsid w:val="00FA52C3"/>
    <w:rsid w:val="00FA63C7"/>
    <w:rsid w:val="00FA6C02"/>
    <w:rsid w:val="00FA6F8C"/>
    <w:rsid w:val="00FA74B6"/>
    <w:rsid w:val="00FA7CAE"/>
    <w:rsid w:val="00FB18EB"/>
    <w:rsid w:val="00FB1D90"/>
    <w:rsid w:val="00FB34C0"/>
    <w:rsid w:val="00FB38B8"/>
    <w:rsid w:val="00FB3BB0"/>
    <w:rsid w:val="00FB3DD9"/>
    <w:rsid w:val="00FB43C1"/>
    <w:rsid w:val="00FB44CA"/>
    <w:rsid w:val="00FB67C2"/>
    <w:rsid w:val="00FB73B3"/>
    <w:rsid w:val="00FB7B31"/>
    <w:rsid w:val="00FC1EE4"/>
    <w:rsid w:val="00FC2243"/>
    <w:rsid w:val="00FC26CF"/>
    <w:rsid w:val="00FC27F8"/>
    <w:rsid w:val="00FC3ACD"/>
    <w:rsid w:val="00FC42AD"/>
    <w:rsid w:val="00FC604F"/>
    <w:rsid w:val="00FC7636"/>
    <w:rsid w:val="00FC7D8F"/>
    <w:rsid w:val="00FD0810"/>
    <w:rsid w:val="00FD0985"/>
    <w:rsid w:val="00FD0AE5"/>
    <w:rsid w:val="00FD0EF3"/>
    <w:rsid w:val="00FD10F7"/>
    <w:rsid w:val="00FD18D3"/>
    <w:rsid w:val="00FD1C82"/>
    <w:rsid w:val="00FD23A7"/>
    <w:rsid w:val="00FD3253"/>
    <w:rsid w:val="00FD3883"/>
    <w:rsid w:val="00FD48BB"/>
    <w:rsid w:val="00FD5236"/>
    <w:rsid w:val="00FD5ABF"/>
    <w:rsid w:val="00FD5DBD"/>
    <w:rsid w:val="00FD61E8"/>
    <w:rsid w:val="00FD66A7"/>
    <w:rsid w:val="00FE04DE"/>
    <w:rsid w:val="00FE0A26"/>
    <w:rsid w:val="00FE0D0B"/>
    <w:rsid w:val="00FE1022"/>
    <w:rsid w:val="00FE13FE"/>
    <w:rsid w:val="00FE150F"/>
    <w:rsid w:val="00FE1BFC"/>
    <w:rsid w:val="00FE1DD0"/>
    <w:rsid w:val="00FE212C"/>
    <w:rsid w:val="00FE45BB"/>
    <w:rsid w:val="00FE478C"/>
    <w:rsid w:val="00FE4BC4"/>
    <w:rsid w:val="00FE518D"/>
    <w:rsid w:val="00FE72A1"/>
    <w:rsid w:val="00FF0439"/>
    <w:rsid w:val="00FF26B8"/>
    <w:rsid w:val="00FF2BAB"/>
    <w:rsid w:val="00FF4249"/>
    <w:rsid w:val="00FF7000"/>
  </w:rsids>
  <w:docVars>
    <w:docVar w:name="TrlrDateFlag" w:val="0"/>
    <w:docVar w:name="TrlrDocTitleFlag" w:val="0"/>
    <w:docVar w:name="TrlrDOSFlag" w:val="0"/>
    <w:docVar w:name="TrlrDOSPathFlag" w:val="0"/>
    <w:docVar w:name="TrlrDraftFlag" w:val="0"/>
    <w:docVar w:name="TrlrFirstPageFlag" w:val="0"/>
    <w:docVar w:name="TrlrMatter" w:val="999999-9999"/>
    <w:docVar w:name="TrlrMatterFlag" w:val="0"/>
    <w:docVar w:name="TrlrRedlineFlag" w:val="0"/>
    <w:docVar w:name="TrlrTimeFlag" w:val="0"/>
    <w:docVar w:name="TrlrTypeFlag" w:val="1"/>
  </w:docVar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ocId w14:val="32B5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6">
    <w:lsdException w:name="Normal" w:uiPriority="2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lsdException w:name="heading 6" w:semiHidden="1" w:uiPriority="14" w:unhideWhenUsed="1"/>
    <w:lsdException w:name="heading 7" w:semiHidden="1" w:uiPriority="14" w:unhideWhenUsed="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semiHidden="1" w:uiPriority="0"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42" w:unhideWhenUsed="1"/>
    <w:lsdException w:name="macro" w:semiHidden="1" w:uiPriority="50" w:unhideWhenUsed="1"/>
    <w:lsdException w:name="toa heading" w:semiHidden="1" w:uiPriority="41" w:unhideWhenUsed="1"/>
    <w:lsdException w:name="List" w:semiHidden="1" w:uiPriority="0" w:unhideWhenUsed="1"/>
    <w:lsdException w:name="List Bullet" w:semiHidden="1" w:uiPriority="24" w:unhideWhenUsed="1" w:qFormat="1"/>
    <w:lsdException w:name="List Number" w:semiHidden="1" w:uiPriority="24"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iPriority="0" w:unhideWhenUsed="1"/>
    <w:lsdException w:name="Signature" w:semiHidden="1" w:uiPriority="39" w:unhideWhenUsed="1"/>
    <w:lsdException w:name="Default Paragraph Font" w:semiHidden="1" w:uiPriority="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lsdException w:name="Bibliography" w:semiHidden="1" w:uiPriority="0" w:unhideWhenUsed="1"/>
    <w:lsdException w:name="TOC Heading" w:semiHidden="1" w:uiPriority="39"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9"/>
    <w:qFormat/>
    <w:rsid w:val="00FD48BB"/>
    <w:pPr>
      <w:jc w:val="both"/>
    </w:pPr>
    <w:rPr>
      <w:rFonts w:cs="Arial"/>
      <w:sz w:val="24"/>
      <w:szCs w:val="24"/>
      <w:lang w:val="en-US" w:eastAsia="en-US" w:bidi="ar-SA"/>
    </w:rPr>
  </w:style>
  <w:style w:type="paragraph" w:styleId="Heading1">
    <w:name w:val="heading 1"/>
    <w:basedOn w:val="Normal"/>
    <w:next w:val="BodyText1"/>
    <w:link w:val="Heading1Char"/>
    <w:uiPriority w:val="14"/>
    <w:qFormat/>
    <w:rsid w:val="00A469A2"/>
    <w:pPr>
      <w:keepLines/>
      <w:numPr>
        <w:numId w:val="4"/>
      </w:numPr>
      <w:spacing w:after="240"/>
      <w:outlineLvl w:val="0"/>
    </w:pPr>
    <w:rPr>
      <w:rFonts w:cs="Times New Roman"/>
      <w:b/>
      <w:caps/>
      <w:color w:val="000000"/>
    </w:rPr>
  </w:style>
  <w:style w:type="paragraph" w:styleId="Heading2">
    <w:name w:val="heading 2"/>
    <w:basedOn w:val="Normal"/>
    <w:next w:val="BodyText1"/>
    <w:link w:val="Heading2Char"/>
    <w:uiPriority w:val="14"/>
    <w:qFormat/>
    <w:rsid w:val="00A469A2"/>
    <w:pPr>
      <w:numPr>
        <w:ilvl w:val="1"/>
        <w:numId w:val="4"/>
      </w:numPr>
      <w:spacing w:after="240"/>
      <w:outlineLvl w:val="1"/>
    </w:pPr>
    <w:rPr>
      <w:rFonts w:cs="Times New Roman"/>
      <w:color w:val="000000"/>
    </w:rPr>
  </w:style>
  <w:style w:type="paragraph" w:styleId="Heading3">
    <w:name w:val="heading 3"/>
    <w:basedOn w:val="Normal"/>
    <w:next w:val="BodyText1"/>
    <w:link w:val="Heading3Char"/>
    <w:uiPriority w:val="14"/>
    <w:qFormat/>
    <w:rsid w:val="00A469A2"/>
    <w:pPr>
      <w:numPr>
        <w:ilvl w:val="2"/>
        <w:numId w:val="4"/>
      </w:numPr>
      <w:spacing w:after="240"/>
      <w:outlineLvl w:val="2"/>
    </w:pPr>
    <w:rPr>
      <w:rFonts w:cs="Times New Roman"/>
      <w:color w:val="000000"/>
    </w:rPr>
  </w:style>
  <w:style w:type="paragraph" w:styleId="Heading4">
    <w:name w:val="heading 4"/>
    <w:basedOn w:val="Normal"/>
    <w:next w:val="BodyText1"/>
    <w:link w:val="Heading4Char"/>
    <w:uiPriority w:val="14"/>
    <w:unhideWhenUsed/>
    <w:qFormat/>
    <w:rsid w:val="00A469A2"/>
    <w:pPr>
      <w:numPr>
        <w:ilvl w:val="3"/>
        <w:numId w:val="4"/>
      </w:numPr>
      <w:spacing w:after="240"/>
      <w:outlineLvl w:val="3"/>
    </w:pPr>
    <w:rPr>
      <w:rFonts w:cs="Times New Roman"/>
      <w:color w:val="000000"/>
    </w:rPr>
  </w:style>
  <w:style w:type="paragraph" w:styleId="Heading5">
    <w:name w:val="heading 5"/>
    <w:basedOn w:val="Normal"/>
    <w:next w:val="BodyText1"/>
    <w:link w:val="Heading5Char"/>
    <w:uiPriority w:val="14"/>
    <w:unhideWhenUsed/>
    <w:rsid w:val="00A469A2"/>
    <w:pPr>
      <w:numPr>
        <w:ilvl w:val="4"/>
        <w:numId w:val="4"/>
      </w:numPr>
      <w:spacing w:after="240"/>
      <w:outlineLvl w:val="4"/>
    </w:pPr>
    <w:rPr>
      <w:rFonts w:cs="Times New Roman"/>
      <w:color w:val="000000"/>
    </w:rPr>
  </w:style>
  <w:style w:type="paragraph" w:styleId="Heading6">
    <w:name w:val="heading 6"/>
    <w:basedOn w:val="Normal"/>
    <w:next w:val="BodyText1"/>
    <w:link w:val="Heading6Char"/>
    <w:uiPriority w:val="14"/>
    <w:unhideWhenUsed/>
    <w:rsid w:val="00A469A2"/>
    <w:pPr>
      <w:numPr>
        <w:ilvl w:val="5"/>
        <w:numId w:val="4"/>
      </w:numPr>
      <w:spacing w:after="240"/>
      <w:outlineLvl w:val="5"/>
    </w:pPr>
    <w:rPr>
      <w:rFonts w:cs="Times New Roman"/>
      <w:color w:val="000000"/>
    </w:rPr>
  </w:style>
  <w:style w:type="paragraph" w:styleId="Heading7">
    <w:name w:val="heading 7"/>
    <w:basedOn w:val="Normal"/>
    <w:next w:val="BodyText1"/>
    <w:link w:val="Heading7Char"/>
    <w:uiPriority w:val="14"/>
    <w:unhideWhenUsed/>
    <w:rsid w:val="00A469A2"/>
    <w:pPr>
      <w:numPr>
        <w:ilvl w:val="6"/>
        <w:numId w:val="4"/>
      </w:numPr>
      <w:spacing w:after="240"/>
      <w:outlineLvl w:val="6"/>
    </w:pPr>
    <w:rPr>
      <w:rFonts w:cs="Times New Roman"/>
      <w:color w:val="000000"/>
    </w:rPr>
  </w:style>
  <w:style w:type="paragraph" w:styleId="Heading8">
    <w:name w:val="heading 8"/>
    <w:basedOn w:val="Normal"/>
    <w:next w:val="BodyText1"/>
    <w:link w:val="Heading8Char"/>
    <w:uiPriority w:val="14"/>
    <w:semiHidden/>
    <w:unhideWhenUsed/>
    <w:qFormat/>
    <w:rsid w:val="00A469A2"/>
    <w:pPr>
      <w:numPr>
        <w:ilvl w:val="7"/>
        <w:numId w:val="4"/>
      </w:numPr>
      <w:spacing w:after="240"/>
      <w:outlineLvl w:val="7"/>
    </w:pPr>
    <w:rPr>
      <w:rFonts w:cs="Times New Roman"/>
      <w:color w:val="000000"/>
    </w:rPr>
  </w:style>
  <w:style w:type="paragraph" w:styleId="Heading9">
    <w:name w:val="heading 9"/>
    <w:basedOn w:val="Normal"/>
    <w:next w:val="BodyText1"/>
    <w:link w:val="Heading9Char"/>
    <w:uiPriority w:val="14"/>
    <w:unhideWhenUsed/>
    <w:qFormat/>
    <w:rsid w:val="00A469A2"/>
    <w:pPr>
      <w:numPr>
        <w:ilvl w:val="8"/>
        <w:numId w:val="4"/>
      </w:numPr>
      <w:spacing w:before="60" w:after="60"/>
      <w:outlineLvl w:val="8"/>
    </w:pPr>
    <w:rPr>
      <w:rFonts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SPACE">
    <w:name w:val="APP SPACE"/>
    <w:basedOn w:val="Normal"/>
    <w:uiPriority w:val="29"/>
    <w:qFormat/>
    <w:rsid w:val="00A469A2"/>
  </w:style>
  <w:style w:type="paragraph" w:customStyle="1" w:styleId="APPSUBTITLE01">
    <w:name w:val="APP SUB TITLE 01"/>
    <w:basedOn w:val="Normal"/>
    <w:uiPriority w:val="29"/>
    <w:qFormat/>
    <w:rsid w:val="00A469A2"/>
    <w:pPr>
      <w:spacing w:before="60" w:after="60"/>
    </w:pPr>
    <w:rPr>
      <w:rFonts w:ascii="Times New Roman Bold" w:hAnsi="Times New Roman Bold"/>
      <w:b/>
      <w:caps/>
    </w:rPr>
  </w:style>
  <w:style w:type="paragraph" w:customStyle="1" w:styleId="APPSUBTITLE02">
    <w:name w:val="APP SUB TITLE 02"/>
    <w:basedOn w:val="Normal"/>
    <w:uiPriority w:val="29"/>
    <w:qFormat/>
    <w:rsid w:val="00A469A2"/>
    <w:pPr>
      <w:spacing w:before="60" w:after="60"/>
      <w:jc w:val="right"/>
    </w:pPr>
    <w:rPr>
      <w:rFonts w:ascii="Times New Roman Bold" w:hAnsi="Times New Roman Bold"/>
      <w:b/>
      <w:caps/>
      <w:noProof/>
    </w:rPr>
  </w:style>
  <w:style w:type="paragraph" w:customStyle="1" w:styleId="APPTITLE01">
    <w:name w:val="APP TITLE 01"/>
    <w:basedOn w:val="Normal"/>
    <w:uiPriority w:val="29"/>
    <w:qFormat/>
    <w:rsid w:val="00A469A2"/>
    <w:pPr>
      <w:keepNext/>
      <w:keepLines/>
      <w:pageBreakBefore/>
      <w:numPr>
        <w:numId w:val="1"/>
      </w:numPr>
      <w:spacing w:before="60" w:after="60"/>
      <w:jc w:val="left"/>
    </w:pPr>
    <w:rPr>
      <w:b/>
      <w:caps/>
    </w:rPr>
  </w:style>
  <w:style w:type="paragraph" w:customStyle="1" w:styleId="APPTITLE02">
    <w:name w:val="APP TITLE 02"/>
    <w:basedOn w:val="APPTITLE01"/>
    <w:uiPriority w:val="29"/>
    <w:qFormat/>
    <w:rsid w:val="00A469A2"/>
    <w:pPr>
      <w:numPr>
        <w:ilvl w:val="1"/>
      </w:numPr>
      <w:jc w:val="right"/>
    </w:pPr>
  </w:style>
  <w:style w:type="paragraph" w:customStyle="1" w:styleId="BodyText0">
    <w:name w:val="BodyText 0"/>
    <w:basedOn w:val="Normal"/>
    <w:uiPriority w:val="29"/>
    <w:qFormat/>
    <w:rsid w:val="00A469A2"/>
    <w:pPr>
      <w:spacing w:after="240"/>
    </w:pPr>
  </w:style>
  <w:style w:type="character" w:customStyle="1" w:styleId="Heading1Char">
    <w:name w:val="Heading 1 Char"/>
    <w:link w:val="Heading1"/>
    <w:uiPriority w:val="14"/>
    <w:rsid w:val="00A469A2"/>
    <w:rPr>
      <w:rFonts w:cs="Times New Roman"/>
      <w:b/>
      <w:caps/>
      <w:color w:val="000000"/>
      <w:sz w:val="24"/>
      <w:szCs w:val="24"/>
      <w:lang w:val="en-US" w:eastAsia="en-US" w:bidi="ar-SA"/>
    </w:rPr>
  </w:style>
  <w:style w:type="character" w:customStyle="1" w:styleId="Heading2Char">
    <w:name w:val="Heading 2 Char"/>
    <w:link w:val="Heading2"/>
    <w:uiPriority w:val="14"/>
    <w:rsid w:val="00A469A2"/>
    <w:rPr>
      <w:rFonts w:cs="Times New Roman"/>
      <w:color w:val="000000"/>
      <w:sz w:val="24"/>
      <w:szCs w:val="24"/>
      <w:lang w:val="en-US" w:eastAsia="en-US" w:bidi="ar-SA"/>
    </w:rPr>
  </w:style>
  <w:style w:type="character" w:customStyle="1" w:styleId="Heading3Char">
    <w:name w:val="Heading 3 Char"/>
    <w:link w:val="Heading3"/>
    <w:uiPriority w:val="14"/>
    <w:rsid w:val="00A469A2"/>
    <w:rPr>
      <w:rFonts w:cs="Times New Roman"/>
      <w:color w:val="000000"/>
      <w:sz w:val="24"/>
      <w:szCs w:val="24"/>
      <w:lang w:val="en-US" w:eastAsia="en-US" w:bidi="ar-SA"/>
    </w:rPr>
  </w:style>
  <w:style w:type="character" w:customStyle="1" w:styleId="Heading4Char">
    <w:name w:val="Heading 4 Char"/>
    <w:link w:val="Heading4"/>
    <w:uiPriority w:val="14"/>
    <w:rsid w:val="00A469A2"/>
    <w:rPr>
      <w:rFonts w:cs="Times New Roman"/>
      <w:color w:val="000000"/>
      <w:sz w:val="24"/>
      <w:szCs w:val="24"/>
      <w:lang w:val="en-US" w:eastAsia="en-US" w:bidi="ar-SA"/>
    </w:rPr>
  </w:style>
  <w:style w:type="character" w:customStyle="1" w:styleId="Heading5Char">
    <w:name w:val="Heading 5 Char"/>
    <w:link w:val="Heading5"/>
    <w:uiPriority w:val="14"/>
    <w:rsid w:val="00A469A2"/>
    <w:rPr>
      <w:rFonts w:cs="Times New Roman"/>
      <w:color w:val="000000"/>
      <w:sz w:val="24"/>
      <w:szCs w:val="24"/>
      <w:lang w:val="en-US" w:eastAsia="en-US" w:bidi="ar-SA"/>
    </w:rPr>
  </w:style>
  <w:style w:type="character" w:customStyle="1" w:styleId="Heading6Char">
    <w:name w:val="Heading 6 Char"/>
    <w:link w:val="Heading6"/>
    <w:uiPriority w:val="14"/>
    <w:rsid w:val="00A469A2"/>
    <w:rPr>
      <w:rFonts w:cs="Times New Roman"/>
      <w:color w:val="000000"/>
      <w:sz w:val="24"/>
      <w:szCs w:val="24"/>
      <w:lang w:val="en-US" w:eastAsia="en-US" w:bidi="ar-SA"/>
    </w:rPr>
  </w:style>
  <w:style w:type="character" w:customStyle="1" w:styleId="Heading7Char">
    <w:name w:val="Heading 7 Char"/>
    <w:link w:val="Heading7"/>
    <w:uiPriority w:val="14"/>
    <w:rsid w:val="00A469A2"/>
    <w:rPr>
      <w:rFonts w:cs="Times New Roman"/>
      <w:color w:val="000000"/>
      <w:sz w:val="24"/>
      <w:szCs w:val="24"/>
      <w:lang w:val="en-US" w:eastAsia="en-US" w:bidi="ar-SA"/>
    </w:rPr>
  </w:style>
  <w:style w:type="character" w:customStyle="1" w:styleId="Heading8Char">
    <w:name w:val="Heading 8 Char"/>
    <w:link w:val="Heading8"/>
    <w:uiPriority w:val="14"/>
    <w:semiHidden/>
    <w:rsid w:val="00A469A2"/>
    <w:rPr>
      <w:rFonts w:cs="Times New Roman"/>
      <w:color w:val="000000"/>
      <w:sz w:val="24"/>
      <w:szCs w:val="24"/>
      <w:lang w:val="en-US" w:eastAsia="en-US" w:bidi="ar-SA"/>
    </w:rPr>
  </w:style>
  <w:style w:type="character" w:customStyle="1" w:styleId="Heading9Char">
    <w:name w:val="Heading 9 Char"/>
    <w:link w:val="Heading9"/>
    <w:uiPriority w:val="14"/>
    <w:rsid w:val="00A469A2"/>
    <w:rPr>
      <w:rFonts w:cs="Times New Roman"/>
      <w:color w:val="000000"/>
      <w:sz w:val="24"/>
      <w:szCs w:val="24"/>
      <w:lang w:val="en-US" w:eastAsia="en-US" w:bidi="ar-SA"/>
    </w:rPr>
  </w:style>
  <w:style w:type="paragraph" w:customStyle="1" w:styleId="AppendixHeading1">
    <w:name w:val="Appendix Heading 1"/>
    <w:basedOn w:val="BodyText0"/>
    <w:uiPriority w:val="29"/>
    <w:qFormat/>
    <w:rsid w:val="00697A1B"/>
    <w:pPr>
      <w:tabs>
        <w:tab w:val="num" w:pos="720"/>
      </w:tabs>
      <w:ind w:left="720" w:hanging="720"/>
      <w:jc w:val="center"/>
    </w:pPr>
    <w:rPr>
      <w:rFonts w:ascii="Times New Roman Bold" w:hAnsi="Times New Roman Bold" w:cs="Arial Bold"/>
      <w:b/>
      <w:caps/>
    </w:rPr>
  </w:style>
  <w:style w:type="paragraph" w:customStyle="1" w:styleId="AppendixHeading2">
    <w:name w:val="Appendix Heading 2"/>
    <w:basedOn w:val="AppendixHeading1"/>
    <w:uiPriority w:val="29"/>
    <w:qFormat/>
    <w:rsid w:val="00697A1B"/>
    <w:pPr>
      <w:numPr>
        <w:ilvl w:val="2"/>
      </w:numPr>
      <w:tabs>
        <w:tab w:val="num" w:pos="720"/>
      </w:tabs>
      <w:ind w:left="720" w:hanging="720"/>
      <w:jc w:val="both"/>
    </w:pPr>
    <w:rPr>
      <w:rFonts w:ascii="Times New Roman" w:hAnsi="Times New Roman" w:cs="Arial"/>
      <w:b w:val="0"/>
      <w:bCs/>
      <w:caps w:val="0"/>
    </w:rPr>
  </w:style>
  <w:style w:type="paragraph" w:customStyle="1" w:styleId="AppendixHeading3">
    <w:name w:val="Appendix Heading 3"/>
    <w:basedOn w:val="AppendixHeading2"/>
    <w:uiPriority w:val="29"/>
    <w:qFormat/>
    <w:rsid w:val="00A469A2"/>
    <w:pPr>
      <w:numPr>
        <w:ilvl w:val="3"/>
      </w:numPr>
      <w:tabs>
        <w:tab w:val="num" w:pos="720"/>
      </w:tabs>
      <w:ind w:left="720" w:hanging="720"/>
    </w:pPr>
  </w:style>
  <w:style w:type="paragraph" w:customStyle="1" w:styleId="AppendixHeading4">
    <w:name w:val="Appendix Heading 4"/>
    <w:basedOn w:val="AppendixHeading3"/>
    <w:uiPriority w:val="29"/>
    <w:qFormat/>
    <w:rsid w:val="00A469A2"/>
    <w:pPr>
      <w:numPr>
        <w:ilvl w:val="4"/>
      </w:numPr>
      <w:tabs>
        <w:tab w:val="num" w:pos="720"/>
      </w:tabs>
      <w:ind w:left="720" w:hanging="720"/>
    </w:pPr>
  </w:style>
  <w:style w:type="paragraph" w:customStyle="1" w:styleId="AppendixHeading5">
    <w:name w:val="Appendix Heading 5"/>
    <w:basedOn w:val="AppendixHeading4"/>
    <w:uiPriority w:val="29"/>
    <w:qFormat/>
    <w:rsid w:val="00A469A2"/>
    <w:pPr>
      <w:numPr>
        <w:ilvl w:val="5"/>
      </w:numPr>
      <w:tabs>
        <w:tab w:val="num" w:pos="720"/>
      </w:tabs>
      <w:ind w:left="720" w:hanging="720"/>
    </w:pPr>
  </w:style>
  <w:style w:type="paragraph" w:customStyle="1" w:styleId="AppendixHeading6">
    <w:name w:val="Appendix Heading 6"/>
    <w:basedOn w:val="AppendixHeading5"/>
    <w:uiPriority w:val="29"/>
    <w:qFormat/>
    <w:rsid w:val="00A469A2"/>
    <w:pPr>
      <w:numPr>
        <w:ilvl w:val="6"/>
      </w:numPr>
      <w:tabs>
        <w:tab w:val="num" w:pos="720"/>
      </w:tabs>
      <w:ind w:left="720" w:hanging="720"/>
    </w:pPr>
  </w:style>
  <w:style w:type="paragraph" w:customStyle="1" w:styleId="AppendixHeadingTitle">
    <w:name w:val="Appendix Heading Title"/>
    <w:basedOn w:val="BodyText0"/>
    <w:uiPriority w:val="29"/>
    <w:qFormat/>
    <w:rsid w:val="00697A1B"/>
    <w:pPr>
      <w:pageBreakBefore/>
      <w:numPr>
        <w:numId w:val="2"/>
      </w:numPr>
      <w:jc w:val="center"/>
    </w:pPr>
    <w:rPr>
      <w:b/>
    </w:rPr>
  </w:style>
  <w:style w:type="paragraph" w:styleId="BalloonText">
    <w:name w:val="Balloon Text"/>
    <w:basedOn w:val="Normal"/>
    <w:link w:val="BalloonTextChar"/>
    <w:uiPriority w:val="99"/>
    <w:rsid w:val="00A469A2"/>
    <w:rPr>
      <w:rFonts w:ascii="Tahoma" w:hAnsi="Tahoma" w:cs="Tahoma"/>
      <w:sz w:val="16"/>
      <w:szCs w:val="16"/>
    </w:rPr>
  </w:style>
  <w:style w:type="character" w:customStyle="1" w:styleId="BalloonTextChar">
    <w:name w:val="Balloon Text Char"/>
    <w:basedOn w:val="DefaultParagraphFont"/>
    <w:link w:val="BalloonText"/>
    <w:uiPriority w:val="99"/>
    <w:rsid w:val="00A469A2"/>
    <w:rPr>
      <w:rFonts w:ascii="Tahoma" w:hAnsi="Tahoma" w:cs="Tahoma"/>
      <w:sz w:val="16"/>
      <w:szCs w:val="16"/>
      <w:lang w:val="en-US" w:eastAsia="en-US" w:bidi="ar-SA"/>
    </w:rPr>
  </w:style>
  <w:style w:type="paragraph" w:customStyle="1" w:styleId="BodyText0-FirstLine05">
    <w:name w:val="BodyText 0 - First Line 0.5"/>
    <w:basedOn w:val="BodyText0"/>
    <w:uiPriority w:val="29"/>
    <w:qFormat/>
    <w:rsid w:val="00A469A2"/>
    <w:pPr>
      <w:ind w:firstLine="720"/>
    </w:pPr>
  </w:style>
  <w:style w:type="paragraph" w:customStyle="1" w:styleId="BodyText0Singleline">
    <w:name w:val="BodyText 0 – Single line"/>
    <w:basedOn w:val="BodyText0"/>
    <w:uiPriority w:val="29"/>
    <w:qFormat/>
    <w:rsid w:val="00A469A2"/>
    <w:pPr>
      <w:spacing w:after="0"/>
    </w:pPr>
  </w:style>
  <w:style w:type="paragraph" w:customStyle="1" w:styleId="BodyText0Bold">
    <w:name w:val="BodyText 0 Bold"/>
    <w:basedOn w:val="BodyText0"/>
    <w:uiPriority w:val="29"/>
    <w:qFormat/>
    <w:rsid w:val="00A469A2"/>
    <w:pPr>
      <w:keepNext/>
      <w:keepLines/>
    </w:pPr>
    <w:rPr>
      <w:b/>
    </w:rPr>
  </w:style>
  <w:style w:type="paragraph" w:customStyle="1" w:styleId="BodyText0BoldItalic">
    <w:name w:val="BodyText 0 Bold&amp;Italic"/>
    <w:basedOn w:val="BodyText0"/>
    <w:uiPriority w:val="29"/>
    <w:qFormat/>
    <w:rsid w:val="00A469A2"/>
    <w:pPr>
      <w:keepNext/>
      <w:keepLines/>
    </w:pPr>
    <w:rPr>
      <w:b/>
      <w:i/>
    </w:rPr>
  </w:style>
  <w:style w:type="paragraph" w:customStyle="1" w:styleId="BodyText0Box">
    <w:name w:val="BodyText 0 Box"/>
    <w:basedOn w:val="BodyText0"/>
    <w:uiPriority w:val="29"/>
    <w:qFormat/>
    <w:rsid w:val="00A469A2"/>
    <w:pPr>
      <w:keepLines/>
      <w:pBdr>
        <w:top w:val="single" w:sz="4" w:space="6" w:color="auto"/>
        <w:left w:val="single" w:sz="4" w:space="6" w:color="auto"/>
        <w:bottom w:val="single" w:sz="4" w:space="6" w:color="auto"/>
        <w:right w:val="single" w:sz="4" w:space="6" w:color="auto"/>
      </w:pBdr>
    </w:pPr>
  </w:style>
  <w:style w:type="paragraph" w:customStyle="1" w:styleId="BodyText0GreyBox">
    <w:name w:val="BodyText 0 Grey Box"/>
    <w:basedOn w:val="BodyText0"/>
    <w:uiPriority w:val="29"/>
    <w:qFormat/>
    <w:rsid w:val="00A469A2"/>
    <w:pPr>
      <w:pBdr>
        <w:top w:val="single" w:sz="4" w:space="6" w:color="auto"/>
        <w:left w:val="single" w:sz="4" w:space="6" w:color="auto"/>
        <w:bottom w:val="single" w:sz="4" w:space="6" w:color="auto"/>
        <w:right w:val="single" w:sz="4" w:space="6" w:color="auto"/>
      </w:pBdr>
      <w:shd w:val="pct15" w:color="auto" w:fill="auto"/>
    </w:pPr>
    <w:rPr>
      <w:i/>
    </w:rPr>
  </w:style>
  <w:style w:type="paragraph" w:customStyle="1" w:styleId="BodyText0Italic">
    <w:name w:val="BodyText 0 Italic"/>
    <w:basedOn w:val="BodyText0"/>
    <w:uiPriority w:val="29"/>
    <w:qFormat/>
    <w:rsid w:val="00A469A2"/>
    <w:pPr>
      <w:keepNext/>
      <w:keepLines/>
    </w:pPr>
    <w:rPr>
      <w:i/>
    </w:rPr>
  </w:style>
  <w:style w:type="paragraph" w:customStyle="1" w:styleId="BodyText1">
    <w:name w:val="BodyText 1"/>
    <w:basedOn w:val="Normal"/>
    <w:link w:val="BodyText1Char"/>
    <w:uiPriority w:val="1"/>
    <w:qFormat/>
    <w:rsid w:val="00A469A2"/>
    <w:pPr>
      <w:spacing w:after="240"/>
      <w:ind w:left="720"/>
    </w:pPr>
  </w:style>
  <w:style w:type="paragraph" w:customStyle="1" w:styleId="BodyText2">
    <w:name w:val="BodyText 2"/>
    <w:basedOn w:val="Normal"/>
    <w:uiPriority w:val="1"/>
    <w:qFormat/>
    <w:rsid w:val="00A469A2"/>
    <w:pPr>
      <w:spacing w:after="240"/>
      <w:ind w:left="1440"/>
    </w:pPr>
    <w:rPr>
      <w:szCs w:val="20"/>
    </w:rPr>
  </w:style>
  <w:style w:type="paragraph" w:customStyle="1" w:styleId="BodyText3">
    <w:name w:val="BodyText 3"/>
    <w:basedOn w:val="Normal"/>
    <w:uiPriority w:val="1"/>
    <w:qFormat/>
    <w:rsid w:val="00A469A2"/>
    <w:pPr>
      <w:spacing w:after="240"/>
      <w:ind w:left="2160"/>
    </w:pPr>
    <w:rPr>
      <w:szCs w:val="20"/>
    </w:rPr>
  </w:style>
  <w:style w:type="paragraph" w:customStyle="1" w:styleId="BodyText4">
    <w:name w:val="BodyText 4"/>
    <w:basedOn w:val="Normal"/>
    <w:uiPriority w:val="1"/>
    <w:rsid w:val="00A469A2"/>
    <w:pPr>
      <w:spacing w:after="240"/>
      <w:ind w:left="2160" w:firstLine="720"/>
    </w:pPr>
    <w:rPr>
      <w:rFonts w:eastAsia="MS Mincho"/>
      <w:szCs w:val="20"/>
    </w:rPr>
  </w:style>
  <w:style w:type="paragraph" w:customStyle="1" w:styleId="BodyText5">
    <w:name w:val="BodyText 5"/>
    <w:basedOn w:val="Normal"/>
    <w:uiPriority w:val="1"/>
    <w:semiHidden/>
    <w:unhideWhenUsed/>
    <w:rsid w:val="00A469A2"/>
    <w:pPr>
      <w:spacing w:after="240"/>
      <w:ind w:left="2880" w:firstLine="720"/>
    </w:pPr>
    <w:rPr>
      <w:rFonts w:eastAsia="MS Mincho"/>
      <w:szCs w:val="20"/>
    </w:rPr>
  </w:style>
  <w:style w:type="paragraph" w:customStyle="1" w:styleId="BodyText6">
    <w:name w:val="BodyText 6"/>
    <w:basedOn w:val="Normal"/>
    <w:uiPriority w:val="1"/>
    <w:semiHidden/>
    <w:unhideWhenUsed/>
    <w:rsid w:val="00A469A2"/>
    <w:pPr>
      <w:spacing w:after="240"/>
      <w:ind w:left="3600" w:firstLine="720"/>
    </w:pPr>
    <w:rPr>
      <w:szCs w:val="20"/>
    </w:rPr>
  </w:style>
  <w:style w:type="paragraph" w:customStyle="1" w:styleId="BodyText7">
    <w:name w:val="BodyText 7"/>
    <w:basedOn w:val="Normal"/>
    <w:uiPriority w:val="1"/>
    <w:semiHidden/>
    <w:unhideWhenUsed/>
    <w:rsid w:val="00A469A2"/>
    <w:pPr>
      <w:spacing w:after="240"/>
      <w:ind w:left="4320" w:firstLine="720"/>
    </w:pPr>
    <w:rPr>
      <w:szCs w:val="20"/>
    </w:rPr>
  </w:style>
  <w:style w:type="paragraph" w:customStyle="1" w:styleId="Centered">
    <w:name w:val="Centered"/>
    <w:basedOn w:val="Normal"/>
    <w:next w:val="BodyText1"/>
    <w:qFormat/>
    <w:rsid w:val="00A469A2"/>
    <w:pPr>
      <w:spacing w:after="240"/>
      <w:jc w:val="center"/>
    </w:pPr>
    <w:rPr>
      <w:b/>
      <w:smallCaps/>
    </w:rPr>
  </w:style>
  <w:style w:type="table" w:styleId="ColorfulGrid">
    <w:name w:val="Colorful Grid"/>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69A2"/>
    <w:rPr>
      <w:rFonts w:eastAsia="Times New Roman" w:cs="Arial"/>
      <w:color w:val="000000"/>
      <w:lang w:val="en-US" w:bidi="ar-SA"/>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69A2"/>
    <w:rPr>
      <w:rFonts w:eastAsia="Times New Roman" w:cs="Arial"/>
      <w:color w:val="000000"/>
      <w:lang w:val="en-US"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69A2"/>
    <w:rPr>
      <w:rFonts w:eastAsia="Times New Roman" w:cs="Arial"/>
      <w:color w:val="000000"/>
      <w:lang w:val="en-US" w:bidi="ar-SA"/>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69A2"/>
    <w:rPr>
      <w:rFonts w:eastAsia="Times New Roman" w:cs="Arial"/>
      <w:color w:val="000000"/>
      <w:lang w:val="en-US" w:bidi="ar-SA"/>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69A2"/>
    <w:rPr>
      <w:rFonts w:eastAsia="Times New Roman" w:cs="Arial"/>
      <w:color w:val="000000"/>
      <w:lang w:val="en-US" w:bidi="ar-SA"/>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69A2"/>
    <w:rPr>
      <w:rFonts w:eastAsia="Times New Roman" w:cs="Arial"/>
      <w:color w:val="000000"/>
      <w:lang w:val="en-US" w:bidi="ar-SA"/>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69A2"/>
    <w:rPr>
      <w:rFonts w:eastAsia="Times New Roman" w:cs="Arial"/>
      <w:color w:val="000000"/>
      <w:lang w:val="en-US" w:bidi="ar-SA"/>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69A2"/>
    <w:rPr>
      <w:rFonts w:eastAsia="Times New Roman" w:cs="Arial"/>
      <w:color w:val="000000"/>
      <w:lang w:val="en-US" w:bidi="ar-SA"/>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69A2"/>
    <w:rPr>
      <w:rFonts w:eastAsia="Times New Roman" w:cs="Arial"/>
      <w:color w:val="000000"/>
      <w:lang w:val="en-US" w:bidi="ar-SA"/>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69A2"/>
    <w:rPr>
      <w:rFonts w:eastAsia="Times New Roman" w:cs="Arial"/>
      <w:color w:val="000000"/>
      <w:lang w:val="en-US" w:bidi="ar-SA"/>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69A2"/>
    <w:rPr>
      <w:rFonts w:eastAsia="Times New Roman" w:cs="Arial"/>
      <w:color w:val="000000"/>
      <w:lang w:val="en-US" w:bidi="ar-SA"/>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69A2"/>
    <w:rPr>
      <w:rFonts w:eastAsia="Times New Roman" w:cs="Arial"/>
      <w:color w:val="000000"/>
      <w:lang w:val="en-US" w:bidi="ar-SA"/>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69A2"/>
    <w:rPr>
      <w:rFonts w:eastAsia="Times New Roman" w:cs="Arial"/>
      <w:color w:val="000000"/>
      <w:lang w:val="en-US" w:bidi="ar-SA"/>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69A2"/>
    <w:rPr>
      <w:rFonts w:eastAsia="Times New Roman" w:cs="Arial"/>
      <w:color w:val="000000"/>
      <w:lang w:val="en-US" w:bidi="ar-SA"/>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69A2"/>
    <w:rPr>
      <w:rFonts w:eastAsia="Times New Roman" w:cs="Arial"/>
      <w:color w:val="000000"/>
      <w:lang w:val="en-US" w:bidi="ar-SA"/>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A469A2"/>
    <w:rPr>
      <w:sz w:val="16"/>
      <w:szCs w:val="16"/>
      <w:lang w:val="en-US"/>
    </w:rPr>
  </w:style>
  <w:style w:type="paragraph" w:styleId="CommentText">
    <w:name w:val="annotation text"/>
    <w:basedOn w:val="Normal"/>
    <w:link w:val="CommentTextChar"/>
    <w:uiPriority w:val="99"/>
    <w:semiHidden/>
    <w:rsid w:val="00A469A2"/>
    <w:rPr>
      <w:sz w:val="20"/>
      <w:szCs w:val="20"/>
    </w:rPr>
  </w:style>
  <w:style w:type="character" w:customStyle="1" w:styleId="CommentTextChar">
    <w:name w:val="Comment Text Char"/>
    <w:link w:val="CommentText"/>
    <w:uiPriority w:val="99"/>
    <w:semiHidden/>
    <w:rsid w:val="00A469A2"/>
    <w:rPr>
      <w:rFonts w:cs="Arial"/>
      <w:lang w:val="en-US" w:eastAsia="en-US" w:bidi="ar-SA"/>
    </w:rPr>
  </w:style>
  <w:style w:type="paragraph" w:styleId="CommentSubject">
    <w:name w:val="annotation subject"/>
    <w:basedOn w:val="CommentText"/>
    <w:next w:val="CommentText"/>
    <w:link w:val="CommentSubjectChar"/>
    <w:uiPriority w:val="99"/>
    <w:semiHidden/>
    <w:rsid w:val="00A469A2"/>
    <w:rPr>
      <w:b/>
      <w:bCs/>
    </w:rPr>
  </w:style>
  <w:style w:type="character" w:customStyle="1" w:styleId="CommentSubjectChar">
    <w:name w:val="Comment Subject Char"/>
    <w:link w:val="CommentSubject"/>
    <w:uiPriority w:val="99"/>
    <w:semiHidden/>
    <w:rsid w:val="00A469A2"/>
    <w:rPr>
      <w:rFonts w:cs="Arial"/>
      <w:b/>
      <w:bCs/>
      <w:lang w:val="en-US" w:eastAsia="en-US" w:bidi="ar-SA"/>
    </w:rPr>
  </w:style>
  <w:style w:type="table" w:styleId="DarkList">
    <w:name w:val="Dark List"/>
    <w:basedOn w:val="TableNormal"/>
    <w:uiPriority w:val="70"/>
    <w:rsid w:val="00A469A2"/>
    <w:rPr>
      <w:rFonts w:eastAsia="Times New Roman" w:cs="Arial"/>
      <w:color w:val="FFFFFF"/>
      <w:lang w:val="en-US" w:bidi="ar-SA"/>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69A2"/>
    <w:rPr>
      <w:rFonts w:eastAsia="Times New Roman" w:cs="Arial"/>
      <w:color w:val="FFFFFF"/>
      <w:lang w:val="en-US" w:bidi="ar-SA"/>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69A2"/>
    <w:rPr>
      <w:rFonts w:eastAsia="Times New Roman" w:cs="Arial"/>
      <w:color w:val="FFFFFF"/>
      <w:lang w:val="en-US" w:bidi="ar-SA"/>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69A2"/>
    <w:rPr>
      <w:rFonts w:eastAsia="Times New Roman" w:cs="Arial"/>
      <w:color w:val="FFFFFF"/>
      <w:lang w:val="en-US" w:bidi="ar-SA"/>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69A2"/>
    <w:rPr>
      <w:rFonts w:eastAsia="Times New Roman" w:cs="Arial"/>
      <w:color w:val="FFFFFF"/>
      <w:lang w:val="en-US" w:bidi="ar-SA"/>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69A2"/>
    <w:rPr>
      <w:rFonts w:eastAsia="Times New Roman" w:cs="Arial"/>
      <w:color w:val="FFFFFF"/>
      <w:lang w:val="en-US" w:bidi="ar-SA"/>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69A2"/>
    <w:rPr>
      <w:rFonts w:eastAsia="Times New Roman" w:cs="Arial"/>
      <w:color w:val="FFFFFF"/>
      <w:lang w:val="en-US" w:bidi="ar-SA"/>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A469A2"/>
  </w:style>
  <w:style w:type="character" w:customStyle="1" w:styleId="DateChar">
    <w:name w:val="Date Char"/>
    <w:link w:val="Date"/>
    <w:uiPriority w:val="99"/>
    <w:semiHidden/>
    <w:rsid w:val="00A469A2"/>
    <w:rPr>
      <w:rFonts w:cs="Arial"/>
      <w:sz w:val="24"/>
      <w:szCs w:val="24"/>
      <w:lang w:val="en-US" w:eastAsia="en-US" w:bidi="ar-SA"/>
    </w:rPr>
  </w:style>
  <w:style w:type="paragraph" w:customStyle="1" w:styleId="Definition1">
    <w:name w:val="Definition 1"/>
    <w:basedOn w:val="BodyText1"/>
    <w:uiPriority w:val="3"/>
    <w:qFormat/>
    <w:rsid w:val="00A469A2"/>
    <w:pPr>
      <w:numPr>
        <w:numId w:val="3"/>
      </w:numPr>
      <w:adjustRightInd w:val="0"/>
      <w:snapToGrid w:val="0"/>
    </w:pPr>
  </w:style>
  <w:style w:type="paragraph" w:customStyle="1" w:styleId="Definition2">
    <w:name w:val="Definition 2"/>
    <w:basedOn w:val="Definition1"/>
    <w:uiPriority w:val="3"/>
    <w:qFormat/>
    <w:rsid w:val="00A469A2"/>
    <w:pPr>
      <w:numPr>
        <w:ilvl w:val="1"/>
      </w:numPr>
    </w:pPr>
  </w:style>
  <w:style w:type="paragraph" w:customStyle="1" w:styleId="Definition3">
    <w:name w:val="Definition 3"/>
    <w:basedOn w:val="Definition2"/>
    <w:uiPriority w:val="3"/>
    <w:qFormat/>
    <w:rsid w:val="00A469A2"/>
    <w:pPr>
      <w:numPr>
        <w:ilvl w:val="2"/>
      </w:numPr>
    </w:pPr>
  </w:style>
  <w:style w:type="paragraph" w:customStyle="1" w:styleId="Definition4">
    <w:name w:val="Definition 4"/>
    <w:basedOn w:val="Definition3"/>
    <w:uiPriority w:val="3"/>
    <w:qFormat/>
    <w:rsid w:val="00A469A2"/>
    <w:pPr>
      <w:numPr>
        <w:ilvl w:val="3"/>
      </w:numPr>
    </w:pPr>
  </w:style>
  <w:style w:type="paragraph" w:customStyle="1" w:styleId="Definition5">
    <w:name w:val="Definition 5"/>
    <w:basedOn w:val="Definition4"/>
    <w:uiPriority w:val="3"/>
    <w:rsid w:val="00A469A2"/>
    <w:pPr>
      <w:numPr>
        <w:ilvl w:val="4"/>
      </w:numPr>
    </w:pPr>
  </w:style>
  <w:style w:type="paragraph" w:customStyle="1" w:styleId="Definition6">
    <w:name w:val="Definition 6"/>
    <w:basedOn w:val="Definition5"/>
    <w:uiPriority w:val="3"/>
    <w:unhideWhenUsed/>
    <w:rsid w:val="00A469A2"/>
    <w:pPr>
      <w:numPr>
        <w:ilvl w:val="5"/>
      </w:numPr>
    </w:pPr>
  </w:style>
  <w:style w:type="paragraph" w:customStyle="1" w:styleId="Definition7">
    <w:name w:val="Definition 7"/>
    <w:basedOn w:val="Definition6"/>
    <w:uiPriority w:val="3"/>
    <w:semiHidden/>
    <w:unhideWhenUsed/>
    <w:rsid w:val="00A469A2"/>
    <w:pPr>
      <w:numPr>
        <w:ilvl w:val="6"/>
      </w:numPr>
    </w:pPr>
  </w:style>
  <w:style w:type="paragraph" w:customStyle="1" w:styleId="Definition8">
    <w:name w:val="Definition 8"/>
    <w:basedOn w:val="Definition7"/>
    <w:uiPriority w:val="3"/>
    <w:semiHidden/>
    <w:unhideWhenUsed/>
    <w:rsid w:val="00A469A2"/>
    <w:pPr>
      <w:numPr>
        <w:ilvl w:val="7"/>
      </w:numPr>
    </w:pPr>
  </w:style>
  <w:style w:type="paragraph" w:customStyle="1" w:styleId="Definition9">
    <w:name w:val="Definition 9"/>
    <w:basedOn w:val="Definition8"/>
    <w:uiPriority w:val="3"/>
    <w:semiHidden/>
    <w:unhideWhenUsed/>
    <w:rsid w:val="00A469A2"/>
    <w:pPr>
      <w:numPr>
        <w:ilvl w:val="8"/>
      </w:numPr>
    </w:pPr>
  </w:style>
  <w:style w:type="paragraph" w:styleId="DocumentMap">
    <w:name w:val="Document Map"/>
    <w:basedOn w:val="Normal"/>
    <w:link w:val="DocumentMapChar"/>
    <w:uiPriority w:val="99"/>
    <w:semiHidden/>
    <w:rsid w:val="00A469A2"/>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A469A2"/>
    <w:rPr>
      <w:rFonts w:ascii="Tahoma" w:hAnsi="Tahoma" w:cs="Tahoma"/>
      <w:shd w:val="clear" w:color="auto" w:fill="000080"/>
      <w:lang w:val="en-US" w:eastAsia="en-US" w:bidi="ar-SA"/>
    </w:rPr>
  </w:style>
  <w:style w:type="paragraph" w:styleId="E-mailSignature">
    <w:name w:val="E-mail Signature"/>
    <w:basedOn w:val="Normal"/>
    <w:link w:val="E-mailSignatureChar"/>
    <w:uiPriority w:val="99"/>
    <w:semiHidden/>
    <w:rsid w:val="00A469A2"/>
  </w:style>
  <w:style w:type="character" w:customStyle="1" w:styleId="E-mailSignatureChar">
    <w:name w:val="E-mail Signature Char"/>
    <w:link w:val="E-mailSignature"/>
    <w:uiPriority w:val="99"/>
    <w:semiHidden/>
    <w:rsid w:val="00A469A2"/>
    <w:rPr>
      <w:rFonts w:cs="Arial"/>
      <w:sz w:val="24"/>
      <w:szCs w:val="24"/>
      <w:lang w:val="en-US" w:eastAsia="en-US" w:bidi="ar-SA"/>
    </w:rPr>
  </w:style>
  <w:style w:type="character" w:styleId="Emphasis">
    <w:name w:val="Emphasis"/>
    <w:uiPriority w:val="99"/>
    <w:rsid w:val="00A469A2"/>
    <w:rPr>
      <w:i/>
      <w:iCs/>
      <w:lang w:val="en-US"/>
    </w:rPr>
  </w:style>
  <w:style w:type="character" w:styleId="EndnoteReference">
    <w:name w:val="endnote reference"/>
    <w:uiPriority w:val="99"/>
    <w:semiHidden/>
    <w:rsid w:val="00A469A2"/>
    <w:rPr>
      <w:vertAlign w:val="superscript"/>
      <w:lang w:val="en-US"/>
    </w:rPr>
  </w:style>
  <w:style w:type="paragraph" w:styleId="EndnoteText">
    <w:name w:val="endnote text"/>
    <w:basedOn w:val="Normal"/>
    <w:link w:val="EndnoteTextChar"/>
    <w:uiPriority w:val="40"/>
    <w:rsid w:val="00A469A2"/>
    <w:rPr>
      <w:sz w:val="20"/>
      <w:szCs w:val="20"/>
    </w:rPr>
  </w:style>
  <w:style w:type="character" w:customStyle="1" w:styleId="EndnoteTextChar">
    <w:name w:val="Endnote Text Char"/>
    <w:link w:val="EndnoteText"/>
    <w:uiPriority w:val="40"/>
    <w:rsid w:val="00A469A2"/>
    <w:rPr>
      <w:rFonts w:cs="Arial"/>
      <w:lang w:val="en-US" w:eastAsia="en-US" w:bidi="ar-SA"/>
    </w:rPr>
  </w:style>
  <w:style w:type="paragraph" w:styleId="EnvelopeAddress">
    <w:name w:val="envelope address"/>
    <w:basedOn w:val="Normal"/>
    <w:uiPriority w:val="99"/>
    <w:semiHidden/>
    <w:rsid w:val="00A469A2"/>
    <w:pPr>
      <w:framePr w:w="7920" w:h="1980" w:hRule="exact" w:hSpace="180" w:wrap="auto" w:hAnchor="page" w:xAlign="center" w:yAlign="bottom"/>
      <w:ind w:left="2880"/>
    </w:pPr>
  </w:style>
  <w:style w:type="paragraph" w:styleId="EnvelopeReturn">
    <w:name w:val="envelope return"/>
    <w:basedOn w:val="Normal"/>
    <w:uiPriority w:val="99"/>
    <w:semiHidden/>
    <w:rsid w:val="00A469A2"/>
    <w:rPr>
      <w:sz w:val="18"/>
      <w:szCs w:val="20"/>
    </w:rPr>
  </w:style>
  <w:style w:type="character" w:styleId="FollowedHyperlink">
    <w:name w:val="FollowedHyperlink"/>
    <w:uiPriority w:val="99"/>
    <w:semiHidden/>
    <w:rsid w:val="00A469A2"/>
    <w:rPr>
      <w:color w:val="800080"/>
      <w:u w:val="single"/>
      <w:lang w:val="en-US"/>
    </w:rPr>
  </w:style>
  <w:style w:type="paragraph" w:styleId="Footer">
    <w:name w:val="footer"/>
    <w:basedOn w:val="Normal"/>
    <w:link w:val="FooterChar"/>
    <w:uiPriority w:val="99"/>
    <w:semiHidden/>
    <w:rsid w:val="00A469A2"/>
    <w:pPr>
      <w:tabs>
        <w:tab w:val="center" w:pos="4680"/>
        <w:tab w:val="right" w:pos="9360"/>
      </w:tabs>
    </w:pPr>
  </w:style>
  <w:style w:type="character" w:customStyle="1" w:styleId="FooterChar">
    <w:name w:val="Footer Char"/>
    <w:link w:val="Footer"/>
    <w:uiPriority w:val="99"/>
    <w:semiHidden/>
    <w:rsid w:val="00A469A2"/>
    <w:rPr>
      <w:rFonts w:cs="Arial"/>
      <w:sz w:val="24"/>
      <w:szCs w:val="24"/>
      <w:lang w:val="en-US" w:eastAsia="en-US" w:bidi="ar-SA"/>
    </w:rPr>
  </w:style>
  <w:style w:type="character" w:styleId="FootnoteReference">
    <w:name w:val="footnote reference"/>
    <w:uiPriority w:val="99"/>
    <w:rsid w:val="00A469A2"/>
    <w:rPr>
      <w:vertAlign w:val="superscript"/>
      <w:lang w:val="en-US"/>
    </w:rPr>
  </w:style>
  <w:style w:type="paragraph" w:styleId="FootnoteText">
    <w:name w:val="footnote text"/>
    <w:aliases w:val="Car,FT,Style 6"/>
    <w:basedOn w:val="Normal"/>
    <w:link w:val="FootnoteTextChar"/>
    <w:uiPriority w:val="99"/>
    <w:rsid w:val="001A02C5"/>
    <w:pPr>
      <w:spacing w:before="120"/>
    </w:pPr>
    <w:rPr>
      <w:sz w:val="18"/>
    </w:rPr>
  </w:style>
  <w:style w:type="character" w:customStyle="1" w:styleId="FootnoteTextChar">
    <w:name w:val="Footnote Text Char"/>
    <w:aliases w:val="Car Char,FT Char,Style 6 Char"/>
    <w:link w:val="FootnoteText"/>
    <w:uiPriority w:val="99"/>
    <w:rsid w:val="001A02C5"/>
    <w:rPr>
      <w:rFonts w:cs="Arial"/>
      <w:sz w:val="18"/>
      <w:szCs w:val="24"/>
      <w:lang w:val="en-US" w:eastAsia="en-US" w:bidi="ar-SA"/>
    </w:rPr>
  </w:style>
  <w:style w:type="paragraph" w:styleId="Header">
    <w:name w:val="header"/>
    <w:basedOn w:val="Normal"/>
    <w:link w:val="HeaderChar"/>
    <w:uiPriority w:val="99"/>
    <w:semiHidden/>
    <w:rsid w:val="00A469A2"/>
    <w:pPr>
      <w:tabs>
        <w:tab w:val="center" w:pos="4680"/>
        <w:tab w:val="right" w:pos="9360"/>
      </w:tabs>
    </w:pPr>
  </w:style>
  <w:style w:type="character" w:customStyle="1" w:styleId="HeaderChar">
    <w:name w:val="Header Char"/>
    <w:link w:val="Header"/>
    <w:uiPriority w:val="99"/>
    <w:semiHidden/>
    <w:rsid w:val="00A469A2"/>
    <w:rPr>
      <w:rFonts w:cs="Arial"/>
      <w:sz w:val="24"/>
      <w:szCs w:val="24"/>
      <w:lang w:val="en-US" w:eastAsia="en-US" w:bidi="ar-SA"/>
    </w:rPr>
  </w:style>
  <w:style w:type="character" w:styleId="HTMLAcronym">
    <w:name w:val="HTML Acronym"/>
    <w:uiPriority w:val="99"/>
    <w:semiHidden/>
    <w:rsid w:val="00A469A2"/>
    <w:rPr>
      <w:rFonts w:ascii="Times New Roman" w:hAnsi="Times New Roman" w:cs="Times New Roman"/>
      <w:lang w:val="en-US"/>
    </w:rPr>
  </w:style>
  <w:style w:type="paragraph" w:styleId="HTMLAddress">
    <w:name w:val="HTML Address"/>
    <w:basedOn w:val="Normal"/>
    <w:link w:val="HTMLAddressChar"/>
    <w:uiPriority w:val="99"/>
    <w:semiHidden/>
    <w:rsid w:val="00A469A2"/>
    <w:rPr>
      <w:i/>
      <w:iCs/>
    </w:rPr>
  </w:style>
  <w:style w:type="character" w:customStyle="1" w:styleId="HTMLAddressChar">
    <w:name w:val="HTML Address Char"/>
    <w:link w:val="HTMLAddress"/>
    <w:uiPriority w:val="99"/>
    <w:semiHidden/>
    <w:rsid w:val="00A469A2"/>
    <w:rPr>
      <w:rFonts w:cs="Arial"/>
      <w:i/>
      <w:iCs/>
      <w:sz w:val="24"/>
      <w:szCs w:val="24"/>
      <w:lang w:val="en-US" w:eastAsia="en-US" w:bidi="ar-SA"/>
    </w:rPr>
  </w:style>
  <w:style w:type="character" w:styleId="HTMLCite">
    <w:name w:val="HTML Cite"/>
    <w:uiPriority w:val="99"/>
    <w:semiHidden/>
    <w:rsid w:val="00A469A2"/>
    <w:rPr>
      <w:i/>
      <w:iCs/>
      <w:lang w:val="en-US"/>
    </w:rPr>
  </w:style>
  <w:style w:type="character" w:styleId="HTMLCode">
    <w:name w:val="HTML Code"/>
    <w:uiPriority w:val="99"/>
    <w:semiHidden/>
    <w:rsid w:val="00A469A2"/>
    <w:rPr>
      <w:rFonts w:ascii="Courier New" w:hAnsi="Courier New" w:cs="Courier New"/>
      <w:sz w:val="20"/>
      <w:szCs w:val="20"/>
      <w:lang w:val="en-US"/>
    </w:rPr>
  </w:style>
  <w:style w:type="character" w:styleId="HTMLDefinition">
    <w:name w:val="HTML Definition"/>
    <w:uiPriority w:val="99"/>
    <w:semiHidden/>
    <w:rsid w:val="00A469A2"/>
    <w:rPr>
      <w:i/>
      <w:iCs/>
      <w:lang w:val="en-US"/>
    </w:rPr>
  </w:style>
  <w:style w:type="character" w:styleId="HTMLKeyboard">
    <w:name w:val="HTML Keyboard"/>
    <w:uiPriority w:val="99"/>
    <w:semiHidden/>
    <w:rsid w:val="00A469A2"/>
    <w:rPr>
      <w:rFonts w:ascii="Courier New" w:hAnsi="Courier New" w:cs="Courier New"/>
      <w:sz w:val="20"/>
      <w:szCs w:val="20"/>
      <w:lang w:val="en-US"/>
    </w:rPr>
  </w:style>
  <w:style w:type="paragraph" w:styleId="HTMLPreformatted">
    <w:name w:val="HTML Preformatted"/>
    <w:basedOn w:val="Normal"/>
    <w:link w:val="HTMLPreformattedChar"/>
    <w:uiPriority w:val="99"/>
    <w:semiHidden/>
    <w:rsid w:val="00A469A2"/>
    <w:rPr>
      <w:rFonts w:ascii="Courier New" w:hAnsi="Courier New" w:cs="Courier New"/>
      <w:sz w:val="20"/>
      <w:szCs w:val="20"/>
    </w:rPr>
  </w:style>
  <w:style w:type="character" w:customStyle="1" w:styleId="HTMLPreformattedChar">
    <w:name w:val="HTML Preformatted Char"/>
    <w:link w:val="HTMLPreformatted"/>
    <w:uiPriority w:val="99"/>
    <w:semiHidden/>
    <w:rsid w:val="00A469A2"/>
    <w:rPr>
      <w:rFonts w:ascii="Courier New" w:hAnsi="Courier New" w:cs="Courier New"/>
      <w:lang w:val="en-US" w:eastAsia="en-US" w:bidi="ar-SA"/>
    </w:rPr>
  </w:style>
  <w:style w:type="character" w:styleId="HTMLSample">
    <w:name w:val="HTML Sample"/>
    <w:uiPriority w:val="99"/>
    <w:semiHidden/>
    <w:rsid w:val="00A469A2"/>
    <w:rPr>
      <w:rFonts w:ascii="Courier New" w:hAnsi="Courier New" w:cs="Courier New"/>
      <w:lang w:val="en-US"/>
    </w:rPr>
  </w:style>
  <w:style w:type="character" w:styleId="HTMLTypewriter">
    <w:name w:val="HTML Typewriter"/>
    <w:uiPriority w:val="99"/>
    <w:semiHidden/>
    <w:rsid w:val="00A469A2"/>
    <w:rPr>
      <w:rFonts w:ascii="Courier New" w:hAnsi="Courier New" w:cs="Courier New"/>
      <w:sz w:val="20"/>
      <w:szCs w:val="20"/>
      <w:lang w:val="en-US"/>
    </w:rPr>
  </w:style>
  <w:style w:type="character" w:styleId="HTMLVariable">
    <w:name w:val="HTML Variable"/>
    <w:uiPriority w:val="99"/>
    <w:semiHidden/>
    <w:rsid w:val="00A469A2"/>
    <w:rPr>
      <w:i/>
      <w:iCs/>
      <w:lang w:val="en-US"/>
    </w:rPr>
  </w:style>
  <w:style w:type="character" w:styleId="Hyperlink">
    <w:name w:val="Hyperlink"/>
    <w:uiPriority w:val="99"/>
    <w:rsid w:val="00A469A2"/>
    <w:rPr>
      <w:color w:val="0000FF"/>
      <w:u w:val="single"/>
      <w:lang w:val="en-US"/>
    </w:rPr>
  </w:style>
  <w:style w:type="paragraph" w:styleId="Index1">
    <w:name w:val="index 1"/>
    <w:basedOn w:val="Normal"/>
    <w:next w:val="Normal"/>
    <w:uiPriority w:val="99"/>
    <w:semiHidden/>
    <w:rsid w:val="00A469A2"/>
    <w:pPr>
      <w:ind w:left="240" w:hanging="240"/>
    </w:pPr>
  </w:style>
  <w:style w:type="paragraph" w:styleId="Index2">
    <w:name w:val="index 2"/>
    <w:basedOn w:val="Normal"/>
    <w:next w:val="Normal"/>
    <w:uiPriority w:val="99"/>
    <w:semiHidden/>
    <w:rsid w:val="00A469A2"/>
    <w:pPr>
      <w:ind w:left="480" w:hanging="240"/>
    </w:pPr>
  </w:style>
  <w:style w:type="paragraph" w:styleId="Index3">
    <w:name w:val="index 3"/>
    <w:basedOn w:val="Normal"/>
    <w:next w:val="Normal"/>
    <w:uiPriority w:val="99"/>
    <w:semiHidden/>
    <w:rsid w:val="00A469A2"/>
    <w:pPr>
      <w:ind w:left="720" w:hanging="240"/>
    </w:pPr>
  </w:style>
  <w:style w:type="paragraph" w:styleId="Index4">
    <w:name w:val="index 4"/>
    <w:basedOn w:val="Normal"/>
    <w:next w:val="Normal"/>
    <w:uiPriority w:val="99"/>
    <w:semiHidden/>
    <w:rsid w:val="00A469A2"/>
    <w:pPr>
      <w:ind w:left="960" w:hanging="240"/>
    </w:pPr>
  </w:style>
  <w:style w:type="paragraph" w:styleId="Index5">
    <w:name w:val="index 5"/>
    <w:basedOn w:val="Normal"/>
    <w:next w:val="Normal"/>
    <w:uiPriority w:val="99"/>
    <w:semiHidden/>
    <w:rsid w:val="00A469A2"/>
    <w:pPr>
      <w:ind w:left="1200" w:hanging="240"/>
    </w:pPr>
  </w:style>
  <w:style w:type="paragraph" w:styleId="Index6">
    <w:name w:val="index 6"/>
    <w:basedOn w:val="Normal"/>
    <w:next w:val="Normal"/>
    <w:uiPriority w:val="99"/>
    <w:semiHidden/>
    <w:rsid w:val="00A469A2"/>
    <w:pPr>
      <w:ind w:left="1440" w:hanging="240"/>
    </w:pPr>
  </w:style>
  <w:style w:type="paragraph" w:styleId="Index7">
    <w:name w:val="index 7"/>
    <w:basedOn w:val="Normal"/>
    <w:next w:val="Normal"/>
    <w:uiPriority w:val="99"/>
    <w:semiHidden/>
    <w:rsid w:val="00A469A2"/>
    <w:pPr>
      <w:ind w:left="1680" w:hanging="240"/>
    </w:pPr>
  </w:style>
  <w:style w:type="paragraph" w:styleId="Index8">
    <w:name w:val="index 8"/>
    <w:basedOn w:val="Normal"/>
    <w:next w:val="Normal"/>
    <w:uiPriority w:val="99"/>
    <w:semiHidden/>
    <w:rsid w:val="00A469A2"/>
    <w:pPr>
      <w:ind w:left="1920" w:hanging="240"/>
    </w:pPr>
  </w:style>
  <w:style w:type="paragraph" w:styleId="Index9">
    <w:name w:val="index 9"/>
    <w:basedOn w:val="Normal"/>
    <w:next w:val="Normal"/>
    <w:uiPriority w:val="99"/>
    <w:semiHidden/>
    <w:rsid w:val="00A469A2"/>
    <w:pPr>
      <w:ind w:left="2160" w:hanging="240"/>
    </w:pPr>
  </w:style>
  <w:style w:type="paragraph" w:styleId="IndexHeading">
    <w:name w:val="index heading"/>
    <w:basedOn w:val="Normal"/>
    <w:next w:val="Index1"/>
    <w:uiPriority w:val="99"/>
    <w:semiHidden/>
    <w:rsid w:val="00A469A2"/>
    <w:rPr>
      <w:rFonts w:ascii="Arial" w:hAnsi="Arial"/>
      <w:b/>
      <w:bCs/>
    </w:rPr>
  </w:style>
  <w:style w:type="paragraph" w:customStyle="1" w:styleId="InformationNotes">
    <w:name w:val="Information Notes"/>
    <w:basedOn w:val="BodyText0"/>
    <w:uiPriority w:val="29"/>
    <w:qFormat/>
    <w:rsid w:val="00A469A2"/>
    <w:pPr>
      <w:framePr w:w="568" w:h="13362" w:hRule="exact" w:wrap="around" w:vAnchor="text" w:hAnchor="page" w:x="332" w:y="-70"/>
      <w:spacing w:after="0"/>
      <w:textDirection w:val="btLr"/>
    </w:pPr>
    <w:rPr>
      <w:color w:val="FF0000"/>
      <w:sz w:val="16"/>
    </w:rPr>
  </w:style>
  <w:style w:type="character" w:styleId="IntenseEmphasis">
    <w:name w:val="Intense Emphasis"/>
    <w:uiPriority w:val="99"/>
    <w:rsid w:val="00A469A2"/>
    <w:rPr>
      <w:rFonts w:ascii="Times New Roman" w:hAnsi="Times New Roman" w:cs="Times New Roman"/>
      <w:b/>
      <w:bCs/>
      <w:i/>
      <w:iCs/>
      <w:color w:val="4F81BD"/>
      <w:lang w:val="en-US"/>
    </w:rPr>
  </w:style>
  <w:style w:type="paragraph" w:styleId="IntenseQuote">
    <w:name w:val="Intense Quote"/>
    <w:basedOn w:val="Normal"/>
    <w:next w:val="Normal"/>
    <w:link w:val="IntenseQuoteChar"/>
    <w:uiPriority w:val="99"/>
    <w:rsid w:val="00A469A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99"/>
    <w:rsid w:val="00A469A2"/>
    <w:rPr>
      <w:rFonts w:cs="Arial"/>
      <w:b/>
      <w:bCs/>
      <w:i/>
      <w:iCs/>
      <w:color w:val="4F81BD"/>
      <w:sz w:val="24"/>
      <w:szCs w:val="24"/>
      <w:lang w:val="en-US" w:eastAsia="en-US" w:bidi="ar-SA"/>
    </w:rPr>
  </w:style>
  <w:style w:type="character" w:styleId="IntenseReference">
    <w:name w:val="Intense Reference"/>
    <w:uiPriority w:val="99"/>
    <w:rsid w:val="00A469A2"/>
    <w:rPr>
      <w:rFonts w:ascii="Times New Roman" w:hAnsi="Times New Roman" w:cs="Times New Roman"/>
      <w:b/>
      <w:bCs/>
      <w:smallCaps/>
      <w:color w:val="C0504D"/>
      <w:spacing w:val="5"/>
      <w:u w:val="single"/>
      <w:lang w:val="en-US"/>
    </w:rPr>
  </w:style>
  <w:style w:type="paragraph" w:customStyle="1" w:styleId="LetterClosing">
    <w:name w:val="LetterClosing"/>
    <w:basedOn w:val="Normal"/>
    <w:uiPriority w:val="49"/>
    <w:semiHidden/>
    <w:rsid w:val="00A469A2"/>
  </w:style>
  <w:style w:type="table" w:styleId="LightGrid">
    <w:name w:val="Light Grid"/>
    <w:basedOn w:val="TableNormal"/>
    <w:uiPriority w:val="62"/>
    <w:rsid w:val="00A469A2"/>
    <w:rPr>
      <w:rFonts w:eastAsia="Times New Roman" w:cs="Arial"/>
      <w:lang w:val="en-U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69A2"/>
    <w:rPr>
      <w:rFonts w:eastAsia="Times New Roman" w:cs="Arial"/>
      <w:lang w:val="en-US"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69A2"/>
    <w:rPr>
      <w:rFonts w:eastAsia="Times New Roman" w:cs="Arial"/>
      <w:lang w:val="en-US"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69A2"/>
    <w:rPr>
      <w:rFonts w:eastAsia="Times New Roman" w:cs="Arial"/>
      <w:lang w:val="en-US"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69A2"/>
    <w:rPr>
      <w:rFonts w:eastAsia="Times New Roman" w:cs="Arial"/>
      <w:lang w:val="en-US"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69A2"/>
    <w:rPr>
      <w:rFonts w:eastAsia="Times New Roman" w:cs="Arial"/>
      <w:lang w:val="en-US"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69A2"/>
    <w:rPr>
      <w:rFonts w:eastAsia="Times New Roman" w:cs="Arial"/>
      <w:lang w:val="en-US"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69A2"/>
    <w:rPr>
      <w:rFonts w:eastAsia="Times New Roman" w:cs="Arial"/>
      <w:lang w:val="en-US"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69A2"/>
    <w:rPr>
      <w:rFonts w:eastAsia="Times New Roman" w:cs="Arial"/>
      <w:lang w:val="en-US"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69A2"/>
    <w:rPr>
      <w:rFonts w:eastAsia="Times New Roman" w:cs="Arial"/>
      <w:lang w:val="en-US"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69A2"/>
    <w:rPr>
      <w:rFonts w:eastAsia="Times New Roman" w:cs="Arial"/>
      <w:lang w:val="en-US"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69A2"/>
    <w:rPr>
      <w:rFonts w:eastAsia="Times New Roman" w:cs="Arial"/>
      <w:lang w:val="en-US"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69A2"/>
    <w:rPr>
      <w:rFonts w:eastAsia="Times New Roman" w:cs="Arial"/>
      <w:lang w:val="en-US"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69A2"/>
    <w:rPr>
      <w:rFonts w:eastAsia="Times New Roman" w:cs="Arial"/>
      <w:lang w:val="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69A2"/>
    <w:rPr>
      <w:rFonts w:eastAsia="Times New Roman" w:cs="Arial"/>
      <w:color w:val="000000"/>
      <w:lang w:val="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69A2"/>
    <w:rPr>
      <w:rFonts w:eastAsia="Times New Roman" w:cs="Arial"/>
      <w:color w:val="365F91"/>
      <w:lang w:val="en-US"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69A2"/>
    <w:rPr>
      <w:rFonts w:eastAsia="Times New Roman" w:cs="Arial"/>
      <w:color w:val="943634"/>
      <w:lang w:val="en-US"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69A2"/>
    <w:rPr>
      <w:rFonts w:eastAsia="Times New Roman" w:cs="Arial"/>
      <w:color w:val="76923C"/>
      <w:lang w:val="en-US"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69A2"/>
    <w:rPr>
      <w:rFonts w:eastAsia="Times New Roman" w:cs="Arial"/>
      <w:color w:val="5F497A"/>
      <w:lang w:val="en-US" w:bidi="ar-S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69A2"/>
    <w:rPr>
      <w:rFonts w:eastAsia="Times New Roman" w:cs="Arial"/>
      <w:color w:val="31849B"/>
      <w:lang w:val="en-US"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69A2"/>
    <w:rPr>
      <w:rFonts w:eastAsia="Times New Roman" w:cs="Arial"/>
      <w:color w:val="E36C0A"/>
      <w:lang w:val="en-US"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A469A2"/>
    <w:rPr>
      <w:rFonts w:ascii="Times New Roman" w:hAnsi="Times New Roman" w:cs="Times New Roman"/>
      <w:lang w:val="en-US"/>
    </w:rPr>
  </w:style>
  <w:style w:type="paragraph" w:styleId="ListBullet">
    <w:name w:val="List Bullet"/>
    <w:basedOn w:val="BodyText1"/>
    <w:uiPriority w:val="24"/>
    <w:qFormat/>
    <w:rsid w:val="00A469A2"/>
    <w:pPr>
      <w:numPr>
        <w:numId w:val="5"/>
      </w:numPr>
    </w:pPr>
    <w:rPr>
      <w:szCs w:val="20"/>
    </w:rPr>
  </w:style>
  <w:style w:type="paragraph" w:styleId="ListBullet2">
    <w:name w:val="List Bullet 2"/>
    <w:basedOn w:val="BodyText1"/>
    <w:uiPriority w:val="24"/>
    <w:unhideWhenUsed/>
    <w:qFormat/>
    <w:rsid w:val="00A469A2"/>
    <w:pPr>
      <w:numPr>
        <w:ilvl w:val="1"/>
        <w:numId w:val="5"/>
      </w:numPr>
    </w:pPr>
    <w:rPr>
      <w:szCs w:val="20"/>
    </w:rPr>
  </w:style>
  <w:style w:type="paragraph" w:styleId="ListBullet3">
    <w:name w:val="List Bullet 3"/>
    <w:basedOn w:val="BodyText1"/>
    <w:uiPriority w:val="24"/>
    <w:unhideWhenUsed/>
    <w:qFormat/>
    <w:rsid w:val="00A469A2"/>
    <w:pPr>
      <w:numPr>
        <w:ilvl w:val="2"/>
        <w:numId w:val="5"/>
      </w:numPr>
    </w:pPr>
    <w:rPr>
      <w:szCs w:val="20"/>
    </w:rPr>
  </w:style>
  <w:style w:type="paragraph" w:styleId="ListBullet4">
    <w:name w:val="List Bullet 4"/>
    <w:basedOn w:val="BodyText1"/>
    <w:uiPriority w:val="24"/>
    <w:unhideWhenUsed/>
    <w:rsid w:val="00A469A2"/>
    <w:pPr>
      <w:numPr>
        <w:ilvl w:val="3"/>
        <w:numId w:val="5"/>
      </w:numPr>
    </w:pPr>
    <w:rPr>
      <w:szCs w:val="20"/>
    </w:rPr>
  </w:style>
  <w:style w:type="paragraph" w:styleId="ListBullet5">
    <w:name w:val="List Bullet 5"/>
    <w:basedOn w:val="BodyText1"/>
    <w:uiPriority w:val="24"/>
    <w:unhideWhenUsed/>
    <w:rsid w:val="00A469A2"/>
    <w:pPr>
      <w:numPr>
        <w:ilvl w:val="4"/>
        <w:numId w:val="5"/>
      </w:numPr>
    </w:pPr>
    <w:rPr>
      <w:szCs w:val="20"/>
    </w:rPr>
  </w:style>
  <w:style w:type="paragraph" w:styleId="ListNumber">
    <w:name w:val="List Number"/>
    <w:basedOn w:val="BodyText1"/>
    <w:uiPriority w:val="24"/>
    <w:qFormat/>
    <w:rsid w:val="00A469A2"/>
    <w:pPr>
      <w:numPr>
        <w:numId w:val="6"/>
      </w:numPr>
    </w:pPr>
    <w:rPr>
      <w:rFonts w:cs="Times New Roman"/>
    </w:rPr>
  </w:style>
  <w:style w:type="paragraph" w:styleId="ListNumber2">
    <w:name w:val="List Number 2"/>
    <w:basedOn w:val="BodyText1"/>
    <w:uiPriority w:val="24"/>
    <w:unhideWhenUsed/>
    <w:rsid w:val="00A469A2"/>
    <w:pPr>
      <w:numPr>
        <w:ilvl w:val="1"/>
        <w:numId w:val="6"/>
      </w:numPr>
    </w:pPr>
    <w:rPr>
      <w:rFonts w:cs="Times New Roman"/>
    </w:rPr>
  </w:style>
  <w:style w:type="paragraph" w:styleId="ListNumber3">
    <w:name w:val="List Number 3"/>
    <w:basedOn w:val="BodyText1"/>
    <w:uiPriority w:val="24"/>
    <w:unhideWhenUsed/>
    <w:rsid w:val="00A469A2"/>
    <w:pPr>
      <w:numPr>
        <w:ilvl w:val="2"/>
        <w:numId w:val="6"/>
      </w:numPr>
    </w:pPr>
    <w:rPr>
      <w:rFonts w:cs="Times New Roman"/>
    </w:rPr>
  </w:style>
  <w:style w:type="paragraph" w:styleId="ListNumber4">
    <w:name w:val="List Number 4"/>
    <w:basedOn w:val="BodyText1"/>
    <w:uiPriority w:val="24"/>
    <w:unhideWhenUsed/>
    <w:rsid w:val="00A469A2"/>
    <w:pPr>
      <w:numPr>
        <w:ilvl w:val="3"/>
        <w:numId w:val="6"/>
      </w:numPr>
    </w:pPr>
    <w:rPr>
      <w:rFonts w:cs="Times New Roman"/>
    </w:rPr>
  </w:style>
  <w:style w:type="paragraph" w:styleId="ListNumber5">
    <w:name w:val="List Number 5"/>
    <w:basedOn w:val="BodyText1"/>
    <w:uiPriority w:val="24"/>
    <w:unhideWhenUsed/>
    <w:rsid w:val="00A469A2"/>
    <w:pPr>
      <w:numPr>
        <w:ilvl w:val="4"/>
        <w:numId w:val="6"/>
      </w:numPr>
    </w:pPr>
    <w:rPr>
      <w:rFonts w:cs="Times New Roman"/>
    </w:rPr>
  </w:style>
  <w:style w:type="paragraph" w:styleId="Macro">
    <w:name w:val="macro"/>
    <w:link w:val="MacroTextChar"/>
    <w:uiPriority w:val="50"/>
    <w:semiHidden/>
    <w:rsid w:val="00A469A2"/>
    <w:pPr>
      <w:pBdr>
        <w:left w:val="single" w:sz="4" w:space="4" w:color="auto"/>
        <w:right w:val="thinThickThinSmallGap" w:sz="24"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en-US" w:bidi="ar-SA"/>
    </w:rPr>
  </w:style>
  <w:style w:type="character" w:customStyle="1" w:styleId="MacroTextChar">
    <w:name w:val="Macro Text Char"/>
    <w:link w:val="Macro"/>
    <w:uiPriority w:val="50"/>
    <w:semiHidden/>
    <w:rsid w:val="00A469A2"/>
    <w:rPr>
      <w:rFonts w:ascii="Courier New" w:eastAsia="Times New Roman" w:hAnsi="Courier New" w:cs="Courier New"/>
      <w:lang w:val="en-US" w:eastAsia="en-US" w:bidi="ar-SA"/>
    </w:rPr>
  </w:style>
  <w:style w:type="paragraph" w:customStyle="1" w:styleId="MarginNotes">
    <w:name w:val="Margin Notes"/>
    <w:basedOn w:val="Normal"/>
    <w:rsid w:val="00A469A2"/>
    <w:pPr>
      <w:framePr w:w="936" w:hSpace="144" w:wrap="around" w:vAnchor="text" w:hAnchor="margin" w:x="9217" w:y="1"/>
      <w:jc w:val="left"/>
    </w:pPr>
    <w:rPr>
      <w:rFonts w:cs="Times New Roman"/>
      <w:sz w:val="14"/>
      <w:szCs w:val="16"/>
      <w:lang w:eastAsia="zh-CN"/>
    </w:rPr>
  </w:style>
  <w:style w:type="table" w:styleId="MediumGrid1">
    <w:name w:val="Medium Grid 1"/>
    <w:basedOn w:val="TableNormal"/>
    <w:uiPriority w:val="67"/>
    <w:rsid w:val="00A469A2"/>
    <w:rPr>
      <w:rFonts w:eastAsia="Times New Roman" w:cs="Arial"/>
      <w:lang w:val="en-US"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69A2"/>
    <w:rPr>
      <w:rFonts w:eastAsia="Times New Roman" w:cs="Arial"/>
      <w:lang w:val="en-US"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69A2"/>
    <w:rPr>
      <w:rFonts w:eastAsia="Times New Roman" w:cs="Arial"/>
      <w:lang w:val="en-US"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69A2"/>
    <w:rPr>
      <w:rFonts w:eastAsia="Times New Roman" w:cs="Arial"/>
      <w:lang w:val="en-US"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69A2"/>
    <w:rPr>
      <w:rFonts w:eastAsia="Times New Roman" w:cs="Arial"/>
      <w:lang w:val="en-US"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69A2"/>
    <w:rPr>
      <w:rFonts w:eastAsia="Times New Roman" w:cs="Arial"/>
      <w:lang w:val="en-US"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69A2"/>
    <w:rPr>
      <w:rFonts w:eastAsia="Times New Roman" w:cs="Arial"/>
      <w:lang w:val="en-US"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69A2"/>
    <w:rPr>
      <w:rFonts w:eastAsia="Times New Roman" w:cs="Arial"/>
      <w:color w:val="000000"/>
      <w:lang w:val="en-U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69A2"/>
    <w:rPr>
      <w:rFonts w:eastAsia="Times New Roman" w:cs="Arial"/>
      <w:color w:val="000000"/>
      <w:lang w:val="en-US"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69A2"/>
    <w:rPr>
      <w:rFonts w:eastAsia="Times New Roman" w:cs="Arial"/>
      <w:color w:val="000000"/>
      <w:lang w:val="en-US"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69A2"/>
    <w:rPr>
      <w:rFonts w:eastAsia="Times New Roman" w:cs="Arial"/>
      <w:color w:val="000000"/>
      <w:lang w:val="en-US"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69A2"/>
    <w:rPr>
      <w:rFonts w:eastAsia="Times New Roman" w:cs="Arial"/>
      <w:color w:val="000000"/>
      <w:lang w:val="en-US"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69A2"/>
    <w:rPr>
      <w:rFonts w:eastAsia="Times New Roman" w:cs="Arial"/>
      <w:color w:val="000000"/>
      <w:lang w:val="en-US"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69A2"/>
    <w:rPr>
      <w:rFonts w:eastAsia="Times New Roman" w:cs="Arial"/>
      <w:color w:val="000000"/>
      <w:lang w:val="en-US"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69A2"/>
    <w:rPr>
      <w:rFonts w:eastAsia="Times New Roman" w:cs="Arial"/>
      <w:lang w:val="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69A2"/>
    <w:rPr>
      <w:rFonts w:eastAsia="Times New Roman" w:cs="Arial"/>
      <w:color w:val="000000"/>
      <w:lang w:val="en-US" w:bidi="ar-SA"/>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69A2"/>
    <w:rPr>
      <w:rFonts w:eastAsia="Times New Roman" w:cs="Arial"/>
      <w:color w:val="000000"/>
      <w:lang w:val="en-US" w:bidi="ar-SA"/>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69A2"/>
    <w:rPr>
      <w:rFonts w:eastAsia="Times New Roman" w:cs="Arial"/>
      <w:color w:val="000000"/>
      <w:lang w:val="en-US" w:bidi="ar-SA"/>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69A2"/>
    <w:rPr>
      <w:rFonts w:eastAsia="Times New Roman" w:cs="Arial"/>
      <w:color w:val="000000"/>
      <w:lang w:val="en-US" w:bidi="ar-SA"/>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69A2"/>
    <w:rPr>
      <w:rFonts w:eastAsia="Times New Roman" w:cs="Arial"/>
      <w:color w:val="000000"/>
      <w:lang w:val="en-US" w:bidi="ar-SA"/>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69A2"/>
    <w:rPr>
      <w:rFonts w:eastAsia="Times New Roman" w:cs="Arial"/>
      <w:color w:val="000000"/>
      <w:lang w:val="en-US" w:bidi="ar-SA"/>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69A2"/>
    <w:rPr>
      <w:rFonts w:eastAsia="Times New Roman" w:cs="Arial"/>
      <w:color w:val="000000"/>
      <w:lang w:val="en-US" w:bidi="ar-SA"/>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69A2"/>
    <w:rPr>
      <w:rFonts w:eastAsia="Times New Roman" w:cs="Arial"/>
      <w:color w:val="000000"/>
      <w:lang w:val="en-US"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69A2"/>
    <w:rPr>
      <w:rFonts w:eastAsia="Times New Roman" w:cs="Arial"/>
      <w:color w:val="000000"/>
      <w:lang w:val="en-US"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69A2"/>
    <w:rPr>
      <w:rFonts w:eastAsia="Times New Roman" w:cs="Arial"/>
      <w:color w:val="000000"/>
      <w:lang w:val="en-US"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69A2"/>
    <w:rPr>
      <w:rFonts w:eastAsia="Times New Roman" w:cs="Arial"/>
      <w:color w:val="000000"/>
      <w:lang w:val="en-US"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69A2"/>
    <w:rPr>
      <w:rFonts w:eastAsia="Times New Roman" w:cs="Arial"/>
      <w:color w:val="000000"/>
      <w:lang w:val="en-US"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69A2"/>
    <w:rPr>
      <w:rFonts w:eastAsia="Times New Roman" w:cs="Arial"/>
      <w:color w:val="000000"/>
      <w:lang w:val="en-US"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69A2"/>
    <w:rPr>
      <w:rFonts w:eastAsia="Times New Roman" w:cs="Arial"/>
      <w:color w:val="000000"/>
      <w:lang w:val="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69A2"/>
    <w:rPr>
      <w:rFonts w:eastAsia="Times New Roman" w:cs="Arial"/>
      <w:lang w:val="en-US"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69A2"/>
    <w:rPr>
      <w:rFonts w:eastAsia="Times New Roman" w:cs="Arial"/>
      <w:lang w:val="en-US"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69A2"/>
    <w:rPr>
      <w:rFonts w:eastAsia="Times New Roman" w:cs="Arial"/>
      <w:lang w:val="en-US"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69A2"/>
    <w:rPr>
      <w:rFonts w:eastAsia="Times New Roman" w:cs="Arial"/>
      <w:lang w:val="en-US"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69A2"/>
    <w:rPr>
      <w:rFonts w:eastAsia="Times New Roman" w:cs="Arial"/>
      <w:lang w:val="en-US" w:bidi="ar-SA"/>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69A2"/>
    <w:rPr>
      <w:rFonts w:eastAsia="Times New Roman" w:cs="Arial"/>
      <w:lang w:val="en-US"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69A2"/>
    <w:rPr>
      <w:rFonts w:eastAsia="Times New Roman" w:cs="Arial"/>
      <w:lang w:val="en-US"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69A2"/>
    <w:rPr>
      <w:rFonts w:eastAsia="Times New Roman" w:cs="Arial"/>
      <w:lang w:val="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A469A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uiPriority w:val="99"/>
    <w:semiHidden/>
    <w:rsid w:val="00A469A2"/>
    <w:rPr>
      <w:rFonts w:ascii="Arial" w:hAnsi="Arial" w:cs="Arial"/>
      <w:sz w:val="24"/>
      <w:szCs w:val="24"/>
      <w:shd w:val="pct20" w:color="auto" w:fill="auto"/>
      <w:lang w:val="en-US" w:eastAsia="en-US" w:bidi="ar-SA"/>
    </w:rPr>
  </w:style>
  <w:style w:type="paragraph" w:styleId="NoSpacing">
    <w:name w:val="No Spacing"/>
    <w:uiPriority w:val="99"/>
    <w:rsid w:val="00A469A2"/>
    <w:rPr>
      <w:rFonts w:eastAsia="Times New Roman" w:cs="Arial"/>
      <w:sz w:val="24"/>
      <w:szCs w:val="24"/>
      <w:lang w:val="en-US" w:eastAsia="en-US" w:bidi="ar-SA"/>
    </w:rPr>
  </w:style>
  <w:style w:type="paragraph" w:styleId="NormalWeb">
    <w:name w:val="Normal (Web)"/>
    <w:basedOn w:val="Normal"/>
    <w:uiPriority w:val="99"/>
    <w:semiHidden/>
    <w:rsid w:val="00A469A2"/>
  </w:style>
  <w:style w:type="paragraph" w:styleId="NormalIndent">
    <w:name w:val="Normal Indent"/>
    <w:basedOn w:val="Normal"/>
    <w:uiPriority w:val="29"/>
    <w:semiHidden/>
    <w:rsid w:val="00A469A2"/>
    <w:pPr>
      <w:ind w:left="720" w:right="720"/>
    </w:pPr>
  </w:style>
  <w:style w:type="paragraph" w:styleId="NoteHeading">
    <w:name w:val="Note Heading"/>
    <w:basedOn w:val="Normal"/>
    <w:next w:val="Normal"/>
    <w:link w:val="NoteHeadingChar"/>
    <w:uiPriority w:val="99"/>
    <w:rsid w:val="00A469A2"/>
  </w:style>
  <w:style w:type="character" w:customStyle="1" w:styleId="NoteHeadingChar">
    <w:name w:val="Note Heading Char"/>
    <w:link w:val="NoteHeading"/>
    <w:uiPriority w:val="99"/>
    <w:rsid w:val="00A469A2"/>
    <w:rPr>
      <w:rFonts w:cs="Arial"/>
      <w:sz w:val="24"/>
      <w:szCs w:val="24"/>
      <w:lang w:val="en-US" w:eastAsia="en-US" w:bidi="ar-SA"/>
    </w:rPr>
  </w:style>
  <w:style w:type="character" w:styleId="PageNumber">
    <w:name w:val="page number"/>
    <w:uiPriority w:val="99"/>
    <w:semiHidden/>
    <w:rsid w:val="00A469A2"/>
    <w:rPr>
      <w:rFonts w:ascii="Times New Roman" w:hAnsi="Times New Roman" w:cs="Times New Roman"/>
      <w:lang w:val="en-US"/>
    </w:rPr>
  </w:style>
  <w:style w:type="paragraph" w:customStyle="1" w:styleId="PROTITLE">
    <w:name w:val="PRO TITLE"/>
    <w:basedOn w:val="Normal"/>
    <w:next w:val="BodyText0"/>
    <w:uiPriority w:val="29"/>
    <w:qFormat/>
    <w:rsid w:val="00A469A2"/>
    <w:pPr>
      <w:pageBreakBefore/>
      <w:framePr w:w="9101" w:wrap="around" w:vAnchor="page" w:hAnchor="page" w:x="1412" w:y="1441"/>
      <w:pBdr>
        <w:top w:val="single" w:sz="8" w:space="3" w:color="auto"/>
        <w:bottom w:val="single" w:sz="8" w:space="3" w:color="auto"/>
      </w:pBdr>
      <w:shd w:val="clear" w:color="auto" w:fill="FFFFFF" w:themeFill="background1"/>
      <w:jc w:val="center"/>
    </w:pPr>
    <w:rPr>
      <w:b/>
      <w:caps/>
    </w:rPr>
  </w:style>
  <w:style w:type="paragraph" w:customStyle="1" w:styleId="PROTITLECONT">
    <w:name w:val="PRO TITLE CONT"/>
    <w:basedOn w:val="BodyText0"/>
    <w:uiPriority w:val="29"/>
    <w:qFormat/>
    <w:rsid w:val="00A469A2"/>
    <w:pPr>
      <w:pBdr>
        <w:top w:val="single" w:sz="8" w:space="3" w:color="auto"/>
        <w:bottom w:val="single" w:sz="8" w:space="3" w:color="auto"/>
      </w:pBdr>
      <w:spacing w:before="720"/>
      <w:jc w:val="center"/>
    </w:pPr>
    <w:rPr>
      <w:rFonts w:ascii="Times New Roman Bold" w:hAnsi="Times New Roman Bold"/>
      <w:b/>
      <w:caps/>
    </w:rPr>
  </w:style>
  <w:style w:type="paragraph" w:customStyle="1" w:styleId="PROTITLENOTOC">
    <w:name w:val="PRO TITLE NO TOC"/>
    <w:basedOn w:val="PROTITLE"/>
    <w:next w:val="BodyText0"/>
    <w:uiPriority w:val="29"/>
    <w:qFormat/>
    <w:rsid w:val="00A469A2"/>
    <w:pPr>
      <w:framePr w:wrap="around"/>
    </w:pPr>
    <w:rPr>
      <w:rFonts w:ascii="Times New Roman Bold" w:hAnsi="Times New Roman Bold"/>
    </w:rPr>
  </w:style>
  <w:style w:type="paragraph" w:styleId="Quote">
    <w:name w:val="Quote"/>
    <w:basedOn w:val="Normal"/>
    <w:next w:val="Normal"/>
    <w:link w:val="QuoteChar"/>
    <w:uiPriority w:val="39"/>
    <w:rsid w:val="00A469A2"/>
    <w:pPr>
      <w:spacing w:after="240"/>
      <w:ind w:left="1440" w:right="1440"/>
    </w:pPr>
  </w:style>
  <w:style w:type="character" w:customStyle="1" w:styleId="QuoteChar">
    <w:name w:val="Quote Char"/>
    <w:link w:val="Quote"/>
    <w:uiPriority w:val="39"/>
    <w:rsid w:val="00A469A2"/>
    <w:rPr>
      <w:rFonts w:cs="Arial"/>
      <w:sz w:val="24"/>
      <w:szCs w:val="24"/>
      <w:lang w:val="en-US" w:eastAsia="en-US" w:bidi="ar-SA"/>
    </w:rPr>
  </w:style>
  <w:style w:type="paragraph" w:styleId="Salutation">
    <w:name w:val="Salutation"/>
    <w:basedOn w:val="Normal"/>
    <w:next w:val="Normal"/>
    <w:link w:val="SalutationChar"/>
    <w:uiPriority w:val="99"/>
    <w:semiHidden/>
    <w:rsid w:val="00A469A2"/>
  </w:style>
  <w:style w:type="character" w:customStyle="1" w:styleId="SalutationChar">
    <w:name w:val="Salutation Char"/>
    <w:link w:val="Salutation"/>
    <w:uiPriority w:val="99"/>
    <w:semiHidden/>
    <w:rsid w:val="00A469A2"/>
    <w:rPr>
      <w:rFonts w:cs="Arial"/>
      <w:sz w:val="24"/>
      <w:szCs w:val="24"/>
      <w:lang w:val="en-US" w:eastAsia="en-US" w:bidi="ar-SA"/>
    </w:rPr>
  </w:style>
  <w:style w:type="paragraph" w:customStyle="1" w:styleId="Schedule">
    <w:name w:val="Schedule #"/>
    <w:basedOn w:val="Normal"/>
    <w:next w:val="Normal"/>
    <w:uiPriority w:val="16"/>
    <w:unhideWhenUsed/>
    <w:qFormat/>
    <w:rsid w:val="00A469A2"/>
    <w:pPr>
      <w:pageBreakBefore/>
      <w:numPr>
        <w:numId w:val="7"/>
      </w:numPr>
      <w:spacing w:after="240"/>
      <w:jc w:val="center"/>
      <w:outlineLvl w:val="0"/>
    </w:pPr>
    <w:rPr>
      <w:szCs w:val="20"/>
    </w:rPr>
  </w:style>
  <w:style w:type="paragraph" w:customStyle="1" w:styleId="Schedule1">
    <w:name w:val="Schedule 1"/>
    <w:basedOn w:val="Normal"/>
    <w:next w:val="Normal"/>
    <w:uiPriority w:val="19"/>
    <w:unhideWhenUsed/>
    <w:qFormat/>
    <w:rsid w:val="00A469A2"/>
    <w:pPr>
      <w:keepNext/>
      <w:numPr>
        <w:ilvl w:val="1"/>
        <w:numId w:val="9"/>
      </w:numPr>
      <w:spacing w:after="240"/>
    </w:pPr>
    <w:rPr>
      <w:b/>
      <w:caps/>
      <w:szCs w:val="22"/>
    </w:rPr>
  </w:style>
  <w:style w:type="paragraph" w:customStyle="1" w:styleId="Schedule2">
    <w:name w:val="Schedule 2"/>
    <w:basedOn w:val="Normal"/>
    <w:uiPriority w:val="19"/>
    <w:unhideWhenUsed/>
    <w:qFormat/>
    <w:rsid w:val="00A469A2"/>
    <w:pPr>
      <w:numPr>
        <w:ilvl w:val="2"/>
        <w:numId w:val="9"/>
      </w:numPr>
      <w:spacing w:after="240"/>
    </w:pPr>
  </w:style>
  <w:style w:type="paragraph" w:customStyle="1" w:styleId="Schedule3">
    <w:name w:val="Schedule 3"/>
    <w:basedOn w:val="Normal"/>
    <w:uiPriority w:val="19"/>
    <w:unhideWhenUsed/>
    <w:qFormat/>
    <w:rsid w:val="00A469A2"/>
    <w:pPr>
      <w:numPr>
        <w:ilvl w:val="3"/>
        <w:numId w:val="9"/>
      </w:numPr>
      <w:spacing w:after="240"/>
    </w:pPr>
  </w:style>
  <w:style w:type="paragraph" w:customStyle="1" w:styleId="Schedule4">
    <w:name w:val="Schedule 4"/>
    <w:basedOn w:val="Normal"/>
    <w:uiPriority w:val="19"/>
    <w:unhideWhenUsed/>
    <w:qFormat/>
    <w:rsid w:val="00A469A2"/>
    <w:pPr>
      <w:numPr>
        <w:ilvl w:val="4"/>
        <w:numId w:val="9"/>
      </w:numPr>
      <w:spacing w:after="240"/>
    </w:pPr>
  </w:style>
  <w:style w:type="paragraph" w:customStyle="1" w:styleId="Schedule5">
    <w:name w:val="Schedule 5"/>
    <w:basedOn w:val="Normal"/>
    <w:uiPriority w:val="19"/>
    <w:unhideWhenUsed/>
    <w:rsid w:val="00A469A2"/>
    <w:pPr>
      <w:numPr>
        <w:ilvl w:val="5"/>
        <w:numId w:val="9"/>
      </w:numPr>
      <w:spacing w:after="240"/>
    </w:pPr>
  </w:style>
  <w:style w:type="paragraph" w:customStyle="1" w:styleId="Schedule6">
    <w:name w:val="Schedule 6"/>
    <w:basedOn w:val="Normal"/>
    <w:uiPriority w:val="19"/>
    <w:unhideWhenUsed/>
    <w:rsid w:val="00A469A2"/>
    <w:pPr>
      <w:numPr>
        <w:ilvl w:val="6"/>
        <w:numId w:val="9"/>
      </w:numPr>
      <w:spacing w:after="240"/>
    </w:pPr>
  </w:style>
  <w:style w:type="paragraph" w:customStyle="1" w:styleId="Schedule7">
    <w:name w:val="Schedule 7"/>
    <w:basedOn w:val="Normal"/>
    <w:next w:val="Normal"/>
    <w:uiPriority w:val="19"/>
    <w:semiHidden/>
    <w:unhideWhenUsed/>
    <w:rsid w:val="00A469A2"/>
    <w:pPr>
      <w:numPr>
        <w:ilvl w:val="7"/>
        <w:numId w:val="9"/>
      </w:numPr>
      <w:spacing w:after="240"/>
    </w:pPr>
    <w:rPr>
      <w:szCs w:val="20"/>
    </w:rPr>
  </w:style>
  <w:style w:type="paragraph" w:customStyle="1" w:styleId="Schedule8">
    <w:name w:val="Schedule 8"/>
    <w:basedOn w:val="Normal"/>
    <w:uiPriority w:val="19"/>
    <w:semiHidden/>
    <w:unhideWhenUsed/>
    <w:rsid w:val="00A469A2"/>
    <w:pPr>
      <w:numPr>
        <w:ilvl w:val="8"/>
        <w:numId w:val="9"/>
      </w:numPr>
    </w:pPr>
  </w:style>
  <w:style w:type="paragraph" w:customStyle="1" w:styleId="SchedulePart">
    <w:name w:val="Schedule Part"/>
    <w:basedOn w:val="Schedule"/>
    <w:next w:val="Schedule1"/>
    <w:uiPriority w:val="18"/>
    <w:unhideWhenUsed/>
    <w:qFormat/>
    <w:rsid w:val="00A469A2"/>
    <w:pPr>
      <w:pageBreakBefore w:val="0"/>
      <w:numPr>
        <w:ilvl w:val="1"/>
      </w:numPr>
      <w:outlineLvl w:val="1"/>
    </w:pPr>
    <w:rPr>
      <w:b/>
    </w:rPr>
  </w:style>
  <w:style w:type="paragraph" w:customStyle="1" w:styleId="SchedulePartHeading1">
    <w:name w:val="Schedule Part Heading 1"/>
    <w:basedOn w:val="BodyText0"/>
    <w:uiPriority w:val="29"/>
    <w:qFormat/>
    <w:rsid w:val="00A469A2"/>
    <w:pPr>
      <w:numPr>
        <w:ilvl w:val="1"/>
        <w:numId w:val="8"/>
      </w:numPr>
    </w:pPr>
  </w:style>
  <w:style w:type="paragraph" w:customStyle="1" w:styleId="SchedulePartHeading2">
    <w:name w:val="Schedule Part Heading 2"/>
    <w:basedOn w:val="SchedulePartHeading1"/>
    <w:uiPriority w:val="29"/>
    <w:qFormat/>
    <w:rsid w:val="00A469A2"/>
    <w:pPr>
      <w:numPr>
        <w:ilvl w:val="2"/>
      </w:numPr>
    </w:pPr>
  </w:style>
  <w:style w:type="paragraph" w:customStyle="1" w:styleId="SchedulePartHeading3">
    <w:name w:val="Schedule Part Heading 3"/>
    <w:basedOn w:val="SchedulePartHeading2"/>
    <w:uiPriority w:val="29"/>
    <w:qFormat/>
    <w:rsid w:val="00A469A2"/>
    <w:pPr>
      <w:numPr>
        <w:ilvl w:val="3"/>
      </w:numPr>
    </w:pPr>
  </w:style>
  <w:style w:type="paragraph" w:customStyle="1" w:styleId="SchedulePartHeading4">
    <w:name w:val="Schedule Part Heading 4"/>
    <w:basedOn w:val="SchedulePartHeading3"/>
    <w:uiPriority w:val="29"/>
    <w:qFormat/>
    <w:rsid w:val="00A469A2"/>
    <w:pPr>
      <w:numPr>
        <w:ilvl w:val="4"/>
      </w:numPr>
    </w:pPr>
  </w:style>
  <w:style w:type="paragraph" w:customStyle="1" w:styleId="SchedulePartHeading5">
    <w:name w:val="Schedule Part Heading 5"/>
    <w:basedOn w:val="SchedulePartHeading4"/>
    <w:uiPriority w:val="29"/>
    <w:qFormat/>
    <w:rsid w:val="00A469A2"/>
    <w:pPr>
      <w:numPr>
        <w:ilvl w:val="5"/>
      </w:numPr>
    </w:pPr>
  </w:style>
  <w:style w:type="paragraph" w:customStyle="1" w:styleId="SchedulePartHeading6">
    <w:name w:val="Schedule Part Heading 6"/>
    <w:basedOn w:val="SchedulePartHeading5"/>
    <w:uiPriority w:val="29"/>
    <w:qFormat/>
    <w:rsid w:val="00A469A2"/>
    <w:pPr>
      <w:numPr>
        <w:ilvl w:val="6"/>
      </w:numPr>
    </w:pPr>
  </w:style>
  <w:style w:type="paragraph" w:customStyle="1" w:styleId="SchedulePartTitle">
    <w:name w:val="Schedule Part Title"/>
    <w:basedOn w:val="SchedulePart"/>
    <w:uiPriority w:val="29"/>
    <w:qFormat/>
    <w:rsid w:val="00C328E4"/>
    <w:pPr>
      <w:numPr>
        <w:ilvl w:val="0"/>
        <w:numId w:val="8"/>
      </w:numPr>
    </w:pPr>
    <w:rPr>
      <w:rFonts w:ascii="Times New Roman Bold" w:hAnsi="Times New Roman Bold" w:cs="Arial Bold"/>
      <w:caps/>
    </w:rPr>
  </w:style>
  <w:style w:type="paragraph" w:customStyle="1" w:styleId="ScheduleTitle">
    <w:name w:val="Schedule Title"/>
    <w:basedOn w:val="Normal"/>
    <w:next w:val="Schedule1"/>
    <w:uiPriority w:val="17"/>
    <w:unhideWhenUsed/>
    <w:qFormat/>
    <w:rsid w:val="00C328E4"/>
    <w:pPr>
      <w:numPr>
        <w:numId w:val="9"/>
      </w:numPr>
      <w:spacing w:after="240"/>
      <w:jc w:val="center"/>
    </w:pPr>
    <w:rPr>
      <w:rFonts w:ascii="Times New Roman Bold" w:hAnsi="Times New Roman Bold" w:cs="Arial Bold"/>
      <w:b/>
      <w:caps/>
      <w:szCs w:val="22"/>
    </w:rPr>
  </w:style>
  <w:style w:type="paragraph" w:styleId="Signature">
    <w:name w:val="Signature"/>
    <w:basedOn w:val="Normal"/>
    <w:link w:val="SignatureChar"/>
    <w:uiPriority w:val="39"/>
    <w:semiHidden/>
    <w:unhideWhenUsed/>
    <w:rsid w:val="00A469A2"/>
    <w:pPr>
      <w:ind w:left="4320"/>
    </w:pPr>
  </w:style>
  <w:style w:type="character" w:customStyle="1" w:styleId="SignatureChar">
    <w:name w:val="Signature Char"/>
    <w:link w:val="Signature"/>
    <w:uiPriority w:val="39"/>
    <w:semiHidden/>
    <w:rsid w:val="00A469A2"/>
    <w:rPr>
      <w:rFonts w:cs="Arial"/>
      <w:sz w:val="24"/>
      <w:szCs w:val="24"/>
      <w:lang w:val="en-US" w:eastAsia="en-US" w:bidi="ar-SA"/>
    </w:rPr>
  </w:style>
  <w:style w:type="paragraph" w:customStyle="1" w:styleId="SubHeader">
    <w:name w:val="SubHeader"/>
    <w:basedOn w:val="Header"/>
    <w:uiPriority w:val="29"/>
    <w:qFormat/>
    <w:rsid w:val="00A469A2"/>
    <w:pPr>
      <w:framePr w:w="1440" w:wrap="around" w:vAnchor="text" w:hAnchor="text" w:y="1"/>
    </w:pPr>
    <w:rPr>
      <w:rFonts w:ascii="Arial" w:eastAsia="PMingLiU" w:hAnsi="Arial"/>
      <w:b/>
      <w:sz w:val="16"/>
      <w:lang w:eastAsia="zh-TW"/>
    </w:rPr>
  </w:style>
  <w:style w:type="character" w:styleId="SubtleEmphasis">
    <w:name w:val="Subtle Emphasis"/>
    <w:uiPriority w:val="99"/>
    <w:rsid w:val="00A469A2"/>
    <w:rPr>
      <w:rFonts w:ascii="Times New Roman" w:hAnsi="Times New Roman" w:cs="Times New Roman"/>
      <w:i/>
      <w:iCs/>
      <w:color w:val="808080"/>
      <w:lang w:val="en-US"/>
    </w:rPr>
  </w:style>
  <w:style w:type="character" w:styleId="SubtleReference">
    <w:name w:val="Subtle Reference"/>
    <w:uiPriority w:val="99"/>
    <w:rsid w:val="00A469A2"/>
    <w:rPr>
      <w:rFonts w:ascii="Times New Roman" w:hAnsi="Times New Roman" w:cs="Times New Roman"/>
      <w:smallCaps/>
      <w:color w:val="C0504D"/>
      <w:u w:val="single"/>
      <w:lang w:val="en-US"/>
    </w:rPr>
  </w:style>
  <w:style w:type="table" w:styleId="Table3Deffects1">
    <w:name w:val="Table 3D effects 1"/>
    <w:basedOn w:val="TableNormal"/>
    <w:uiPriority w:val="99"/>
    <w:semiHidden/>
    <w:unhideWhenUsed/>
    <w:rsid w:val="00A469A2"/>
    <w:rPr>
      <w:rFonts w:eastAsia="Times New Roman" w:cs="Arial"/>
      <w:lang w:val="en-US"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69A2"/>
    <w:rPr>
      <w:rFonts w:eastAsia="Times New Roman" w:cs="Arial"/>
      <w:lang w:val="en-US"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69A2"/>
    <w:rPr>
      <w:rFonts w:eastAsia="Times New Roman" w:cs="Arial"/>
      <w:lang w:val="en-US"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ody">
    <w:name w:val="Table Body"/>
    <w:basedOn w:val="BodyText0"/>
    <w:uiPriority w:val="29"/>
    <w:qFormat/>
    <w:rsid w:val="00A469A2"/>
    <w:pPr>
      <w:spacing w:before="60" w:after="60"/>
      <w:jc w:val="left"/>
    </w:pPr>
    <w:rPr>
      <w:sz w:val="20"/>
    </w:rPr>
  </w:style>
  <w:style w:type="paragraph" w:customStyle="1" w:styleId="TableBullet1">
    <w:name w:val="Table Bullet 1"/>
    <w:basedOn w:val="TableBody"/>
    <w:uiPriority w:val="29"/>
    <w:qFormat/>
    <w:rsid w:val="00A469A2"/>
    <w:pPr>
      <w:numPr>
        <w:numId w:val="10"/>
      </w:numPr>
    </w:pPr>
  </w:style>
  <w:style w:type="paragraph" w:customStyle="1" w:styleId="TableBullet2">
    <w:name w:val="Table Bullet 2"/>
    <w:basedOn w:val="TableBullet1"/>
    <w:uiPriority w:val="29"/>
    <w:qFormat/>
    <w:rsid w:val="00A469A2"/>
    <w:pPr>
      <w:numPr>
        <w:ilvl w:val="1"/>
      </w:numPr>
    </w:pPr>
  </w:style>
  <w:style w:type="table" w:styleId="TableClassic1">
    <w:name w:val="Table Classic 1"/>
    <w:basedOn w:val="TableNormal"/>
    <w:uiPriority w:val="99"/>
    <w:semiHidden/>
    <w:unhideWhenUsed/>
    <w:rsid w:val="00A469A2"/>
    <w:rPr>
      <w:rFonts w:eastAsia="Times New Roman" w:cs="Arial"/>
      <w:lang w:val="en-US"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69A2"/>
    <w:rPr>
      <w:rFonts w:eastAsia="Times New Roman" w:cs="Arial"/>
      <w:lang w:val="en-US"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69A2"/>
    <w:rPr>
      <w:rFonts w:eastAsia="Times New Roman" w:cs="Arial"/>
      <w:color w:val="000080"/>
      <w:lang w:val="en-US"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69A2"/>
    <w:rPr>
      <w:rFonts w:eastAsia="Times New Roman" w:cs="Arial"/>
      <w:lang w:val="en-US"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69A2"/>
    <w:rPr>
      <w:rFonts w:eastAsia="Times New Roman" w:cs="Arial"/>
      <w:color w:val="FFFFFF"/>
      <w:lang w:val="en-US"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69A2"/>
    <w:rPr>
      <w:rFonts w:eastAsia="Times New Roman" w:cs="Arial"/>
      <w:lang w:val="en-US"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69A2"/>
    <w:rPr>
      <w:rFonts w:eastAsia="Times New Roman" w:cs="Arial"/>
      <w:lang w:val="en-US"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69A2"/>
    <w:rPr>
      <w:rFonts w:eastAsia="Times New Roman" w:cs="Arial"/>
      <w:b/>
      <w:bCs/>
      <w:lang w:val="en-US"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69A2"/>
    <w:rPr>
      <w:rFonts w:eastAsia="Times New Roman" w:cs="Arial"/>
      <w:b/>
      <w:bCs/>
      <w:lang w:val="en-US"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69A2"/>
    <w:rPr>
      <w:rFonts w:eastAsia="Times New Roman" w:cs="Arial"/>
      <w:b/>
      <w:bCs/>
      <w:lang w:val="en-US"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69A2"/>
    <w:rPr>
      <w:rFonts w:eastAsia="Times New Roman" w:cs="Arial"/>
      <w:lang w:val="en-US"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69A2"/>
    <w:rPr>
      <w:rFonts w:eastAsia="Times New Roman" w:cs="Arial"/>
      <w:lang w:val="en-US"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69A2"/>
    <w:rPr>
      <w:rFonts w:eastAsia="Times New Roman" w:cs="Arial"/>
      <w:lang w:val="en-US"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69A2"/>
    <w:rPr>
      <w:rFonts w:eastAsia="Times New Roman" w:cs="Arial"/>
      <w:lang w:val="en-US"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A469A2"/>
    <w:rPr>
      <w:rFonts w:eastAsia="Times New Roman" w:cs="Arial"/>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469A2"/>
    <w:rPr>
      <w:rFonts w:eastAsia="Times New Roman" w:cs="Arial"/>
      <w:lang w:val="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69A2"/>
    <w:rPr>
      <w:rFonts w:eastAsia="Times New Roman" w:cs="Arial"/>
      <w:lang w:val="en-US"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69A2"/>
    <w:rPr>
      <w:rFonts w:eastAsia="Times New Roman" w:cs="Arial"/>
      <w:lang w:val="en-US"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69A2"/>
    <w:rPr>
      <w:rFonts w:eastAsia="Times New Roman" w:cs="Arial"/>
      <w:lang w:val="en-US"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69A2"/>
    <w:rPr>
      <w:rFonts w:eastAsia="Times New Roman" w:cs="Arial"/>
      <w:lang w:val="en-US"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69A2"/>
    <w:rPr>
      <w:rFonts w:eastAsia="Times New Roman" w:cs="Arial"/>
      <w:lang w:val="en-US"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69A2"/>
    <w:rPr>
      <w:rFonts w:eastAsia="Times New Roman" w:cs="Arial"/>
      <w:b/>
      <w:bCs/>
      <w:lang w:val="en-US"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69A2"/>
    <w:rPr>
      <w:rFonts w:eastAsia="Times New Roman" w:cs="Arial"/>
      <w:lang w:val="en-US"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469A2"/>
    <w:rPr>
      <w:rFonts w:eastAsia="Times New Roman" w:cs="Arial"/>
      <w:lang w:val="en-US"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69A2"/>
    <w:rPr>
      <w:rFonts w:eastAsia="Times New Roman" w:cs="Arial"/>
      <w:lang w:val="en-US"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69A2"/>
    <w:rPr>
      <w:rFonts w:eastAsia="Times New Roman" w:cs="Arial"/>
      <w:lang w:val="en-US"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69A2"/>
    <w:rPr>
      <w:rFonts w:eastAsia="Times New Roman" w:cs="Arial"/>
      <w:lang w:val="en-US"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69A2"/>
    <w:rPr>
      <w:rFonts w:eastAsia="Times New Roman" w:cs="Arial"/>
      <w:lang w:val="en-US"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69A2"/>
    <w:rPr>
      <w:rFonts w:eastAsia="Times New Roman" w:cs="Arial"/>
      <w:lang w:val="en-US"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69A2"/>
    <w:rPr>
      <w:rFonts w:eastAsia="Times New Roman" w:cs="Arial"/>
      <w:lang w:val="en-US"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69A2"/>
    <w:rPr>
      <w:rFonts w:eastAsia="Times New Roman" w:cs="Arial"/>
      <w:lang w:val="en-US"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ote">
    <w:name w:val="Table Note"/>
    <w:basedOn w:val="TableBody"/>
    <w:uiPriority w:val="29"/>
    <w:qFormat/>
    <w:rsid w:val="00A469A2"/>
    <w:pPr>
      <w:spacing w:after="0"/>
      <w:ind w:left="360" w:hanging="360"/>
    </w:pPr>
    <w:rPr>
      <w:sz w:val="16"/>
    </w:rPr>
  </w:style>
  <w:style w:type="paragraph" w:customStyle="1" w:styleId="TableNum1">
    <w:name w:val="Table Num 1"/>
    <w:basedOn w:val="TableBody"/>
    <w:uiPriority w:val="29"/>
    <w:qFormat/>
    <w:rsid w:val="00A469A2"/>
    <w:pPr>
      <w:numPr>
        <w:numId w:val="11"/>
      </w:numPr>
    </w:pPr>
  </w:style>
  <w:style w:type="paragraph" w:customStyle="1" w:styleId="TableNum2">
    <w:name w:val="Table Num 2"/>
    <w:basedOn w:val="TableNum1"/>
    <w:uiPriority w:val="29"/>
    <w:qFormat/>
    <w:rsid w:val="00A469A2"/>
    <w:pPr>
      <w:numPr>
        <w:ilvl w:val="1"/>
      </w:numPr>
    </w:pPr>
  </w:style>
  <w:style w:type="paragraph" w:customStyle="1" w:styleId="TableNum3">
    <w:name w:val="Table Num 3"/>
    <w:basedOn w:val="TableNum2"/>
    <w:uiPriority w:val="29"/>
    <w:qFormat/>
    <w:rsid w:val="00A469A2"/>
    <w:pPr>
      <w:numPr>
        <w:ilvl w:val="2"/>
      </w:numPr>
    </w:pPr>
    <w:rPr>
      <w:rFonts w:eastAsia="Times New Roman"/>
    </w:rPr>
  </w:style>
  <w:style w:type="paragraph" w:styleId="TableofAuthorities">
    <w:name w:val="table of authorities"/>
    <w:basedOn w:val="Normal"/>
    <w:next w:val="Normal"/>
    <w:uiPriority w:val="42"/>
    <w:semiHidden/>
    <w:unhideWhenUsed/>
    <w:rsid w:val="00A469A2"/>
    <w:pPr>
      <w:tabs>
        <w:tab w:val="right" w:leader="dot" w:pos="9360"/>
      </w:tabs>
      <w:spacing w:after="240"/>
      <w:ind w:left="202" w:hanging="202"/>
    </w:pPr>
  </w:style>
  <w:style w:type="paragraph" w:styleId="TableofFigures">
    <w:name w:val="table of figures"/>
    <w:basedOn w:val="Normal"/>
    <w:next w:val="Normal"/>
    <w:uiPriority w:val="39"/>
    <w:semiHidden/>
    <w:rsid w:val="00A469A2"/>
    <w:pPr>
      <w:tabs>
        <w:tab w:val="right" w:leader="dot" w:pos="9360"/>
      </w:tabs>
      <w:ind w:left="475" w:firstLine="475"/>
    </w:pPr>
  </w:style>
  <w:style w:type="table" w:styleId="TableProfessional">
    <w:name w:val="Table Professional"/>
    <w:basedOn w:val="TableNormal"/>
    <w:uiPriority w:val="99"/>
    <w:semiHidden/>
    <w:unhideWhenUsed/>
    <w:rsid w:val="00A469A2"/>
    <w:rPr>
      <w:rFonts w:eastAsia="Times New Roman" w:cs="Arial"/>
      <w:lang w:val="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69A2"/>
    <w:rPr>
      <w:rFonts w:eastAsia="Times New Roman" w:cs="Arial"/>
      <w:lang w:val="en-US"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69A2"/>
    <w:rPr>
      <w:rFonts w:eastAsia="Times New Roman" w:cs="Arial"/>
      <w:lang w:val="en-US"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69A2"/>
    <w:rPr>
      <w:rFonts w:eastAsia="Times New Roman" w:cs="Arial"/>
      <w:lang w:val="en-US"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Body"/>
    <w:uiPriority w:val="29"/>
    <w:qFormat/>
    <w:rsid w:val="00A469A2"/>
    <w:pPr>
      <w:spacing w:after="0"/>
    </w:pPr>
    <w:rPr>
      <w:i/>
      <w:sz w:val="16"/>
    </w:rPr>
  </w:style>
  <w:style w:type="paragraph" w:customStyle="1" w:styleId="TableSubTotal">
    <w:name w:val="Table Sub Total"/>
    <w:basedOn w:val="TableBody"/>
    <w:uiPriority w:val="29"/>
    <w:qFormat/>
    <w:rsid w:val="00A469A2"/>
    <w:pPr>
      <w:pBdr>
        <w:bottom w:val="single" w:sz="4" w:space="1" w:color="auto"/>
      </w:pBdr>
    </w:pPr>
  </w:style>
  <w:style w:type="table" w:styleId="TableSubtle1">
    <w:name w:val="Table Subtle 1"/>
    <w:basedOn w:val="TableNormal"/>
    <w:uiPriority w:val="99"/>
    <w:semiHidden/>
    <w:unhideWhenUsed/>
    <w:rsid w:val="00A469A2"/>
    <w:rPr>
      <w:rFonts w:eastAsia="Times New Roman" w:cs="Arial"/>
      <w:lang w:val="en-US"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69A2"/>
    <w:rPr>
      <w:rFonts w:eastAsia="Times New Roman" w:cs="Arial"/>
      <w:lang w:val="en-US"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69A2"/>
    <w:rPr>
      <w:rFonts w:eastAsia="Times New Roman" w:cs="Arial"/>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Body"/>
    <w:uiPriority w:val="29"/>
    <w:qFormat/>
    <w:rsid w:val="00A469A2"/>
    <w:pPr>
      <w:pBdr>
        <w:bottom w:val="single" w:sz="4" w:space="1" w:color="auto"/>
      </w:pBdr>
      <w:jc w:val="center"/>
    </w:pPr>
    <w:rPr>
      <w:b/>
    </w:rPr>
  </w:style>
  <w:style w:type="paragraph" w:customStyle="1" w:styleId="TableTitle2">
    <w:name w:val="Table Title 2"/>
    <w:basedOn w:val="TableTitle1"/>
    <w:uiPriority w:val="29"/>
    <w:qFormat/>
    <w:rsid w:val="00A469A2"/>
    <w:pPr>
      <w:pBdr>
        <w:bottom w:val="none" w:sz="0" w:space="0" w:color="auto"/>
      </w:pBdr>
    </w:pPr>
  </w:style>
  <w:style w:type="paragraph" w:customStyle="1" w:styleId="TableTotal">
    <w:name w:val="Table Total"/>
    <w:basedOn w:val="TableBody"/>
    <w:uiPriority w:val="29"/>
    <w:qFormat/>
    <w:rsid w:val="00A469A2"/>
    <w:pPr>
      <w:pBdr>
        <w:bottom w:val="double" w:sz="4" w:space="1" w:color="auto"/>
      </w:pBdr>
    </w:pPr>
  </w:style>
  <w:style w:type="table" w:styleId="TableWeb1">
    <w:name w:val="Table Web 1"/>
    <w:basedOn w:val="TableNormal"/>
    <w:uiPriority w:val="99"/>
    <w:semiHidden/>
    <w:unhideWhenUsed/>
    <w:rsid w:val="00A469A2"/>
    <w:rPr>
      <w:rFonts w:eastAsia="Times New Roman" w:cs="Arial"/>
      <w:lang w:val="en-US"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69A2"/>
    <w:rPr>
      <w:rFonts w:eastAsia="Times New Roman" w:cs="Arial"/>
      <w:lang w:val="en-US"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69A2"/>
    <w:rPr>
      <w:rFonts w:eastAsia="Times New Roman" w:cs="Arial"/>
      <w:lang w:val="en-US"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39"/>
    <w:rsid w:val="00A469A2"/>
    <w:pPr>
      <w:spacing w:after="240"/>
      <w:jc w:val="center"/>
    </w:pPr>
    <w:rPr>
      <w:b/>
      <w:kern w:val="28"/>
    </w:rPr>
  </w:style>
  <w:style w:type="character" w:customStyle="1" w:styleId="TitleChar">
    <w:name w:val="Title Char"/>
    <w:link w:val="Title"/>
    <w:uiPriority w:val="39"/>
    <w:rsid w:val="00A469A2"/>
    <w:rPr>
      <w:rFonts w:cs="Arial"/>
      <w:b/>
      <w:kern w:val="28"/>
      <w:sz w:val="24"/>
      <w:szCs w:val="24"/>
      <w:lang w:val="en-US" w:eastAsia="en-US" w:bidi="ar-SA"/>
    </w:rPr>
  </w:style>
  <w:style w:type="paragraph" w:styleId="TOAHeading">
    <w:name w:val="toa heading"/>
    <w:basedOn w:val="Normal"/>
    <w:next w:val="Normal"/>
    <w:uiPriority w:val="41"/>
    <w:semiHidden/>
    <w:unhideWhenUsed/>
    <w:rsid w:val="00A469A2"/>
    <w:pPr>
      <w:spacing w:after="240"/>
      <w:jc w:val="center"/>
    </w:pPr>
    <w:rPr>
      <w:b/>
      <w:caps/>
    </w:rPr>
  </w:style>
  <w:style w:type="paragraph" w:styleId="TOC1">
    <w:name w:val="toc 1"/>
    <w:basedOn w:val="Normal"/>
    <w:uiPriority w:val="39"/>
    <w:unhideWhenUsed/>
    <w:rsid w:val="00A469A2"/>
    <w:pPr>
      <w:keepLines/>
      <w:widowControl w:val="0"/>
      <w:tabs>
        <w:tab w:val="right" w:leader="dot" w:pos="9000"/>
      </w:tabs>
      <w:spacing w:after="120"/>
      <w:ind w:left="720" w:right="720" w:hanging="720"/>
    </w:pPr>
  </w:style>
  <w:style w:type="paragraph" w:styleId="TOC2">
    <w:name w:val="toc 2"/>
    <w:basedOn w:val="Normal"/>
    <w:uiPriority w:val="39"/>
    <w:unhideWhenUsed/>
    <w:rsid w:val="00A469A2"/>
    <w:pPr>
      <w:keepLines/>
      <w:widowControl w:val="0"/>
      <w:tabs>
        <w:tab w:val="right" w:leader="dot" w:pos="9000"/>
      </w:tabs>
      <w:spacing w:after="120"/>
      <w:ind w:left="1440" w:right="720" w:hanging="720"/>
    </w:pPr>
  </w:style>
  <w:style w:type="paragraph" w:styleId="TOC3">
    <w:name w:val="toc 3"/>
    <w:basedOn w:val="Normal"/>
    <w:uiPriority w:val="39"/>
    <w:unhideWhenUsed/>
    <w:rsid w:val="00A469A2"/>
    <w:pPr>
      <w:keepLines/>
      <w:widowControl w:val="0"/>
      <w:tabs>
        <w:tab w:val="right" w:leader="dot" w:pos="9000"/>
      </w:tabs>
      <w:spacing w:before="480" w:after="120"/>
      <w:ind w:right="720"/>
    </w:pPr>
    <w:rPr>
      <w:caps/>
    </w:rPr>
  </w:style>
  <w:style w:type="paragraph" w:styleId="TOC4">
    <w:name w:val="toc 4"/>
    <w:basedOn w:val="Normal"/>
    <w:uiPriority w:val="39"/>
    <w:unhideWhenUsed/>
    <w:rsid w:val="00A469A2"/>
    <w:pPr>
      <w:keepLines/>
      <w:widowControl w:val="0"/>
      <w:numPr>
        <w:numId w:val="12"/>
      </w:numPr>
      <w:tabs>
        <w:tab w:val="right" w:leader="dot" w:pos="9000"/>
      </w:tabs>
      <w:spacing w:before="480" w:after="120"/>
      <w:ind w:right="720"/>
    </w:pPr>
    <w:rPr>
      <w:caps/>
    </w:rPr>
  </w:style>
  <w:style w:type="paragraph" w:styleId="TOC5">
    <w:name w:val="toc 5"/>
    <w:basedOn w:val="Normal"/>
    <w:uiPriority w:val="39"/>
    <w:semiHidden/>
    <w:unhideWhenUsed/>
    <w:rsid w:val="00A469A2"/>
    <w:pPr>
      <w:keepLines/>
      <w:widowControl w:val="0"/>
      <w:tabs>
        <w:tab w:val="right" w:leader="dot" w:pos="9360"/>
      </w:tabs>
      <w:ind w:left="3600" w:right="720" w:hanging="720"/>
    </w:pPr>
  </w:style>
  <w:style w:type="paragraph" w:styleId="TOC6">
    <w:name w:val="toc 6"/>
    <w:basedOn w:val="Normal"/>
    <w:uiPriority w:val="39"/>
    <w:semiHidden/>
    <w:unhideWhenUsed/>
    <w:rsid w:val="00A469A2"/>
    <w:pPr>
      <w:keepLines/>
      <w:widowControl w:val="0"/>
      <w:tabs>
        <w:tab w:val="right" w:leader="dot" w:pos="9360"/>
      </w:tabs>
      <w:ind w:left="4320" w:right="720" w:hanging="720"/>
    </w:pPr>
  </w:style>
  <w:style w:type="paragraph" w:styleId="TOC7">
    <w:name w:val="toc 7"/>
    <w:basedOn w:val="Normal"/>
    <w:uiPriority w:val="39"/>
    <w:unhideWhenUsed/>
    <w:rsid w:val="00A469A2"/>
    <w:pPr>
      <w:keepLines/>
      <w:widowControl w:val="0"/>
      <w:tabs>
        <w:tab w:val="right" w:leader="dot" w:pos="9360"/>
      </w:tabs>
      <w:ind w:left="5040" w:right="720" w:hanging="720"/>
    </w:pPr>
  </w:style>
  <w:style w:type="paragraph" w:styleId="TOC8">
    <w:name w:val="toc 8"/>
    <w:basedOn w:val="Normal"/>
    <w:uiPriority w:val="39"/>
    <w:semiHidden/>
    <w:unhideWhenUsed/>
    <w:rsid w:val="00A469A2"/>
    <w:pPr>
      <w:keepLines/>
      <w:widowControl w:val="0"/>
      <w:tabs>
        <w:tab w:val="right" w:leader="dot" w:pos="9360"/>
      </w:tabs>
      <w:ind w:left="5760" w:right="720" w:hanging="720"/>
    </w:pPr>
  </w:style>
  <w:style w:type="paragraph" w:styleId="TOC9">
    <w:name w:val="toc 9"/>
    <w:basedOn w:val="Normal"/>
    <w:uiPriority w:val="39"/>
    <w:semiHidden/>
    <w:unhideWhenUsed/>
    <w:rsid w:val="00A469A2"/>
    <w:pPr>
      <w:keepLines/>
      <w:widowControl w:val="0"/>
      <w:tabs>
        <w:tab w:val="right" w:leader="dot" w:pos="9360"/>
      </w:tabs>
      <w:ind w:left="6480" w:right="720" w:hanging="720"/>
    </w:pPr>
  </w:style>
  <w:style w:type="paragraph" w:styleId="TOCHeading">
    <w:name w:val="TOC Heading"/>
    <w:basedOn w:val="Heading1"/>
    <w:next w:val="Normal"/>
    <w:uiPriority w:val="39"/>
    <w:semiHidden/>
    <w:unhideWhenUsed/>
    <w:rsid w:val="00A469A2"/>
    <w:pPr>
      <w:numPr>
        <w:numId w:val="0"/>
      </w:numPr>
      <w:outlineLvl w:val="9"/>
    </w:pPr>
  </w:style>
  <w:style w:type="paragraph" w:customStyle="1" w:styleId="TopNotes">
    <w:name w:val="Top Notes"/>
    <w:basedOn w:val="BodyText0"/>
    <w:uiPriority w:val="29"/>
    <w:qFormat/>
    <w:rsid w:val="00A469A2"/>
    <w:pPr>
      <w:framePr w:w="7200" w:wrap="around" w:vAnchor="text" w:hAnchor="page" w:x="2406" w:y="-1180"/>
      <w:spacing w:after="0"/>
      <w:jc w:val="center"/>
    </w:pPr>
    <w:rPr>
      <w:color w:val="FF0000"/>
    </w:rPr>
  </w:style>
  <w:style w:type="paragraph" w:styleId="Revision">
    <w:name w:val="Revision"/>
    <w:hidden/>
    <w:uiPriority w:val="99"/>
    <w:semiHidden/>
    <w:rsid w:val="00600720"/>
    <w:rPr>
      <w:rFonts w:cs="Times New Roman"/>
      <w:sz w:val="24"/>
      <w:szCs w:val="24"/>
      <w:lang w:bidi="ar-AE"/>
    </w:rPr>
  </w:style>
  <w:style w:type="table" w:customStyle="1" w:styleId="TableGrid10">
    <w:name w:val="Table Grid1"/>
    <w:basedOn w:val="TableNormal"/>
    <w:next w:val="TableGrid"/>
    <w:uiPriority w:val="99"/>
    <w:rsid w:val="00AB2019"/>
    <w:pPr>
      <w:spacing w:after="200" w:line="276" w:lineRule="auto"/>
    </w:pPr>
    <w:rPr>
      <w:rFonts w:eastAsia="Times New Roman" w:cs="Arial"/>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C638F9"/>
    <w:pPr>
      <w:spacing w:after="200" w:line="276" w:lineRule="auto"/>
    </w:pPr>
    <w:rPr>
      <w:rFonts w:eastAsia="Times New Roman" w:cs="Arial"/>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1L9">
    <w:name w:val="General 1 L9"/>
    <w:basedOn w:val="Normal"/>
    <w:uiPriority w:val="99"/>
    <w:semiHidden/>
    <w:rsid w:val="00F112CE"/>
    <w:pPr>
      <w:spacing w:after="240"/>
      <w:outlineLvl w:val="8"/>
    </w:pPr>
    <w:rPr>
      <w:rFonts w:cs="Times New Roman"/>
      <w:lang w:val="en-GB" w:eastAsia="zh-CN" w:bidi="ar-AE"/>
    </w:rPr>
  </w:style>
  <w:style w:type="paragraph" w:customStyle="1" w:styleId="General1L8">
    <w:name w:val="General 1 L8"/>
    <w:basedOn w:val="Normal"/>
    <w:uiPriority w:val="99"/>
    <w:semiHidden/>
    <w:rsid w:val="00F112CE"/>
    <w:pPr>
      <w:spacing w:after="240"/>
      <w:outlineLvl w:val="7"/>
    </w:pPr>
    <w:rPr>
      <w:rFonts w:cs="Times New Roman"/>
      <w:lang w:val="en-GB" w:eastAsia="zh-CN" w:bidi="ar-AE"/>
    </w:rPr>
  </w:style>
  <w:style w:type="paragraph" w:customStyle="1" w:styleId="General1L7">
    <w:name w:val="General 1 L7"/>
    <w:basedOn w:val="Normal"/>
    <w:uiPriority w:val="99"/>
    <w:semiHidden/>
    <w:rsid w:val="00F112CE"/>
    <w:pPr>
      <w:spacing w:after="240"/>
      <w:outlineLvl w:val="6"/>
    </w:pPr>
    <w:rPr>
      <w:rFonts w:cs="Times New Roman"/>
      <w:lang w:val="en-GB" w:eastAsia="zh-CN" w:bidi="ar-AE"/>
    </w:rPr>
  </w:style>
  <w:style w:type="paragraph" w:customStyle="1" w:styleId="General1L6">
    <w:name w:val="General 1 L6"/>
    <w:basedOn w:val="Normal"/>
    <w:next w:val="Normal"/>
    <w:qFormat/>
    <w:rsid w:val="00F112CE"/>
    <w:pPr>
      <w:tabs>
        <w:tab w:val="num" w:pos="3600"/>
      </w:tabs>
      <w:spacing w:after="240"/>
      <w:ind w:left="3600" w:hanging="720"/>
      <w:outlineLvl w:val="5"/>
    </w:pPr>
    <w:rPr>
      <w:rFonts w:cs="Times New Roman"/>
      <w:lang w:val="en-GB" w:eastAsia="zh-CN" w:bidi="ar-AE"/>
    </w:rPr>
  </w:style>
  <w:style w:type="paragraph" w:customStyle="1" w:styleId="General1L5">
    <w:name w:val="General 1 L5"/>
    <w:basedOn w:val="Normal"/>
    <w:next w:val="Normal"/>
    <w:link w:val="General1L5Char"/>
    <w:qFormat/>
    <w:rsid w:val="00F112CE"/>
    <w:pPr>
      <w:tabs>
        <w:tab w:val="num" w:pos="2880"/>
      </w:tabs>
      <w:spacing w:after="240"/>
      <w:ind w:left="2880" w:hanging="720"/>
      <w:outlineLvl w:val="4"/>
    </w:pPr>
    <w:rPr>
      <w:rFonts w:cs="Times New Roman"/>
      <w:lang w:val="en-GB" w:eastAsia="zh-CN" w:bidi="ar-AE"/>
    </w:rPr>
  </w:style>
  <w:style w:type="paragraph" w:customStyle="1" w:styleId="General1L4">
    <w:name w:val="General 1 L4"/>
    <w:basedOn w:val="Normal"/>
    <w:next w:val="BodyText30"/>
    <w:link w:val="General1L4Char"/>
    <w:qFormat/>
    <w:rsid w:val="00F112CE"/>
    <w:pPr>
      <w:tabs>
        <w:tab w:val="num" w:pos="2160"/>
      </w:tabs>
      <w:spacing w:after="240"/>
      <w:ind w:left="2160" w:hanging="720"/>
      <w:outlineLvl w:val="3"/>
    </w:pPr>
    <w:rPr>
      <w:rFonts w:cs="Times New Roman"/>
      <w:lang w:val="en-GB" w:eastAsia="zh-CN" w:bidi="ar-AE"/>
    </w:rPr>
  </w:style>
  <w:style w:type="paragraph" w:customStyle="1" w:styleId="General1L3">
    <w:name w:val="General 1 L3"/>
    <w:basedOn w:val="Normal"/>
    <w:next w:val="BodyText20"/>
    <w:link w:val="General1L3Char"/>
    <w:qFormat/>
    <w:rsid w:val="00F112CE"/>
    <w:pPr>
      <w:tabs>
        <w:tab w:val="num" w:pos="1440"/>
      </w:tabs>
      <w:spacing w:after="240"/>
      <w:ind w:left="1440" w:hanging="720"/>
      <w:outlineLvl w:val="2"/>
    </w:pPr>
    <w:rPr>
      <w:rFonts w:cs="Times New Roman"/>
      <w:lang w:val="en-GB" w:eastAsia="zh-CN" w:bidi="ar-AE"/>
    </w:rPr>
  </w:style>
  <w:style w:type="character" w:customStyle="1" w:styleId="General1L3Char">
    <w:name w:val="General 1 L3 Char"/>
    <w:basedOn w:val="DefaultParagraphFont"/>
    <w:link w:val="General1L3"/>
    <w:rsid w:val="00F112CE"/>
    <w:rPr>
      <w:rFonts w:cs="Times New Roman"/>
      <w:sz w:val="24"/>
      <w:szCs w:val="24"/>
      <w:lang w:bidi="ar-AE"/>
    </w:rPr>
  </w:style>
  <w:style w:type="paragraph" w:customStyle="1" w:styleId="General1L2">
    <w:name w:val="General 1 L2"/>
    <w:basedOn w:val="Normal"/>
    <w:next w:val="Normal"/>
    <w:qFormat/>
    <w:rsid w:val="00F112CE"/>
    <w:pPr>
      <w:tabs>
        <w:tab w:val="num" w:pos="720"/>
      </w:tabs>
      <w:spacing w:after="240"/>
      <w:ind w:left="720" w:hanging="720"/>
      <w:outlineLvl w:val="1"/>
    </w:pPr>
    <w:rPr>
      <w:rFonts w:cs="Times New Roman"/>
      <w:lang w:val="en-GB" w:eastAsia="zh-CN" w:bidi="ar-AE"/>
    </w:rPr>
  </w:style>
  <w:style w:type="paragraph" w:customStyle="1" w:styleId="General1L1">
    <w:name w:val="General 1 L1"/>
    <w:basedOn w:val="Normal"/>
    <w:next w:val="Normal"/>
    <w:qFormat/>
    <w:rsid w:val="00F112CE"/>
    <w:pPr>
      <w:keepNext/>
      <w:tabs>
        <w:tab w:val="num" w:pos="720"/>
      </w:tabs>
      <w:spacing w:after="240"/>
      <w:ind w:left="720" w:hanging="720"/>
      <w:jc w:val="left"/>
      <w:outlineLvl w:val="0"/>
    </w:pPr>
    <w:rPr>
      <w:rFonts w:cs="Times New Roman"/>
      <w:b/>
      <w:caps/>
      <w:lang w:val="en-GB" w:eastAsia="zh-CN" w:bidi="ar-AE"/>
    </w:rPr>
  </w:style>
  <w:style w:type="paragraph" w:customStyle="1" w:styleId="Schedule1L9">
    <w:name w:val="Schedule 1 L9"/>
    <w:basedOn w:val="Normal"/>
    <w:next w:val="Normal"/>
    <w:qFormat/>
    <w:rsid w:val="00F112CE"/>
    <w:pPr>
      <w:tabs>
        <w:tab w:val="num" w:pos="4320"/>
      </w:tabs>
      <w:spacing w:after="240"/>
      <w:ind w:left="4321" w:hanging="721"/>
      <w:outlineLvl w:val="8"/>
    </w:pPr>
    <w:rPr>
      <w:rFonts w:cs="Times New Roman"/>
      <w:lang w:val="en-GB" w:eastAsia="zh-CN" w:bidi="ar-AE"/>
    </w:rPr>
  </w:style>
  <w:style w:type="paragraph" w:customStyle="1" w:styleId="Schedule1L8">
    <w:name w:val="Schedule 1 L8"/>
    <w:basedOn w:val="Normal"/>
    <w:next w:val="Normal"/>
    <w:qFormat/>
    <w:rsid w:val="00F112CE"/>
    <w:pPr>
      <w:tabs>
        <w:tab w:val="num" w:pos="3600"/>
      </w:tabs>
      <w:spacing w:after="240"/>
      <w:ind w:left="3600" w:hanging="720"/>
      <w:outlineLvl w:val="7"/>
    </w:pPr>
    <w:rPr>
      <w:rFonts w:cs="Times New Roman"/>
      <w:lang w:val="en-GB" w:eastAsia="zh-CN" w:bidi="ar-AE"/>
    </w:rPr>
  </w:style>
  <w:style w:type="paragraph" w:customStyle="1" w:styleId="Schedule1L7">
    <w:name w:val="Schedule 1 L7"/>
    <w:basedOn w:val="Normal"/>
    <w:next w:val="Normal"/>
    <w:qFormat/>
    <w:rsid w:val="00F112CE"/>
    <w:pPr>
      <w:tabs>
        <w:tab w:val="num" w:pos="2880"/>
      </w:tabs>
      <w:spacing w:after="240"/>
      <w:ind w:left="2880" w:hanging="720"/>
      <w:outlineLvl w:val="6"/>
    </w:pPr>
    <w:rPr>
      <w:rFonts w:cs="Times New Roman"/>
      <w:lang w:val="en-GB" w:eastAsia="zh-CN" w:bidi="ar-AE"/>
    </w:rPr>
  </w:style>
  <w:style w:type="paragraph" w:customStyle="1" w:styleId="Schedule1L6">
    <w:name w:val="Schedule 1 L6"/>
    <w:basedOn w:val="Normal"/>
    <w:next w:val="BodyText30"/>
    <w:qFormat/>
    <w:rsid w:val="00F112CE"/>
    <w:pPr>
      <w:tabs>
        <w:tab w:val="num" w:pos="2160"/>
      </w:tabs>
      <w:spacing w:after="240"/>
      <w:ind w:left="2160" w:hanging="720"/>
      <w:outlineLvl w:val="5"/>
    </w:pPr>
    <w:rPr>
      <w:rFonts w:cs="Times New Roman"/>
      <w:lang w:val="en-GB" w:eastAsia="zh-CN" w:bidi="ar-AE"/>
    </w:rPr>
  </w:style>
  <w:style w:type="paragraph" w:customStyle="1" w:styleId="Schedule1L5">
    <w:name w:val="Schedule 1 L5"/>
    <w:basedOn w:val="Normal"/>
    <w:next w:val="BodyText20"/>
    <w:qFormat/>
    <w:rsid w:val="00F112CE"/>
    <w:pPr>
      <w:tabs>
        <w:tab w:val="num" w:pos="1440"/>
      </w:tabs>
      <w:spacing w:after="240"/>
      <w:ind w:left="1440" w:hanging="720"/>
      <w:outlineLvl w:val="4"/>
    </w:pPr>
    <w:rPr>
      <w:rFonts w:cs="Times New Roman"/>
      <w:lang w:val="en-GB" w:eastAsia="zh-CN" w:bidi="ar-AE"/>
    </w:rPr>
  </w:style>
  <w:style w:type="paragraph" w:customStyle="1" w:styleId="Schedule1L4">
    <w:name w:val="Schedule 1 L4"/>
    <w:basedOn w:val="Normal"/>
    <w:next w:val="Normal"/>
    <w:qFormat/>
    <w:rsid w:val="00F112CE"/>
    <w:pPr>
      <w:tabs>
        <w:tab w:val="num" w:pos="720"/>
      </w:tabs>
      <w:spacing w:after="240"/>
      <w:ind w:left="720" w:hanging="720"/>
      <w:outlineLvl w:val="3"/>
    </w:pPr>
    <w:rPr>
      <w:rFonts w:cs="Times New Roman"/>
      <w:lang w:val="en-GB" w:eastAsia="zh-CN" w:bidi="ar-AE"/>
    </w:rPr>
  </w:style>
  <w:style w:type="paragraph" w:customStyle="1" w:styleId="Schedule1L3">
    <w:name w:val="Schedule 1 L3"/>
    <w:basedOn w:val="Normal"/>
    <w:next w:val="Normal"/>
    <w:link w:val="Schedule1L3Char"/>
    <w:qFormat/>
    <w:rsid w:val="00F112CE"/>
    <w:pPr>
      <w:tabs>
        <w:tab w:val="num" w:pos="720"/>
      </w:tabs>
      <w:spacing w:after="240"/>
      <w:ind w:left="720" w:hanging="720"/>
      <w:outlineLvl w:val="2"/>
    </w:pPr>
    <w:rPr>
      <w:rFonts w:cs="Times New Roman"/>
      <w:lang w:val="en-GB" w:eastAsia="zh-CN" w:bidi="ar-AE"/>
    </w:rPr>
  </w:style>
  <w:style w:type="paragraph" w:customStyle="1" w:styleId="Schedule1L2">
    <w:name w:val="Schedule 1 L2"/>
    <w:basedOn w:val="Normal"/>
    <w:next w:val="BodyText"/>
    <w:qFormat/>
    <w:rsid w:val="00F112CE"/>
    <w:pPr>
      <w:spacing w:after="240"/>
      <w:jc w:val="center"/>
      <w:outlineLvl w:val="1"/>
    </w:pPr>
    <w:rPr>
      <w:rFonts w:cs="Times New Roman"/>
      <w:b/>
      <w:caps/>
      <w:lang w:val="en-GB" w:eastAsia="zh-CN" w:bidi="ar-AE"/>
    </w:rPr>
  </w:style>
  <w:style w:type="paragraph" w:customStyle="1" w:styleId="Schedule1L1">
    <w:name w:val="Schedule 1 L1"/>
    <w:basedOn w:val="Normal"/>
    <w:next w:val="BodyText"/>
    <w:qFormat/>
    <w:rsid w:val="00F112CE"/>
    <w:pPr>
      <w:keepNext/>
      <w:pageBreakBefore/>
      <w:spacing w:after="240"/>
      <w:jc w:val="center"/>
      <w:outlineLvl w:val="0"/>
    </w:pPr>
    <w:rPr>
      <w:rFonts w:cs="Times New Roman"/>
      <w:b/>
      <w:caps/>
      <w:lang w:val="en-GB" w:eastAsia="zh-CN" w:bidi="ar-AE"/>
    </w:rPr>
  </w:style>
  <w:style w:type="paragraph" w:styleId="BodyText30">
    <w:name w:val="Body Text 3"/>
    <w:basedOn w:val="Normal"/>
    <w:link w:val="BodyText3Char"/>
    <w:semiHidden/>
    <w:unhideWhenUsed/>
    <w:qFormat/>
    <w:rsid w:val="00F112CE"/>
    <w:pPr>
      <w:spacing w:after="120"/>
    </w:pPr>
    <w:rPr>
      <w:sz w:val="16"/>
      <w:szCs w:val="16"/>
    </w:rPr>
  </w:style>
  <w:style w:type="character" w:customStyle="1" w:styleId="BodyText3Char">
    <w:name w:val="Body Text 3 Char"/>
    <w:basedOn w:val="DefaultParagraphFont"/>
    <w:link w:val="BodyText30"/>
    <w:semiHidden/>
    <w:rsid w:val="00F112CE"/>
    <w:rPr>
      <w:rFonts w:cs="Arial"/>
      <w:sz w:val="16"/>
      <w:szCs w:val="16"/>
      <w:lang w:val="en-US" w:eastAsia="en-US" w:bidi="ar-SA"/>
    </w:rPr>
  </w:style>
  <w:style w:type="paragraph" w:styleId="BodyText20">
    <w:name w:val="Body Text 2"/>
    <w:basedOn w:val="Normal"/>
    <w:link w:val="BodyText2Char"/>
    <w:semiHidden/>
    <w:unhideWhenUsed/>
    <w:qFormat/>
    <w:rsid w:val="00F112CE"/>
    <w:pPr>
      <w:spacing w:after="120" w:line="480" w:lineRule="auto"/>
    </w:pPr>
  </w:style>
  <w:style w:type="character" w:customStyle="1" w:styleId="BodyText2Char">
    <w:name w:val="Body Text 2 Char"/>
    <w:basedOn w:val="DefaultParagraphFont"/>
    <w:link w:val="BodyText20"/>
    <w:semiHidden/>
    <w:rsid w:val="00F112CE"/>
    <w:rPr>
      <w:rFonts w:cs="Arial"/>
      <w:sz w:val="24"/>
      <w:szCs w:val="24"/>
      <w:lang w:val="en-US" w:eastAsia="en-US" w:bidi="ar-SA"/>
    </w:rPr>
  </w:style>
  <w:style w:type="paragraph" w:styleId="BodyText">
    <w:name w:val="Body Text"/>
    <w:aliases w:val="bt"/>
    <w:basedOn w:val="Normal"/>
    <w:link w:val="BodyTextChar"/>
    <w:unhideWhenUsed/>
    <w:qFormat/>
    <w:rsid w:val="00F112CE"/>
    <w:pPr>
      <w:spacing w:after="120"/>
    </w:pPr>
  </w:style>
  <w:style w:type="character" w:customStyle="1" w:styleId="BodyTextChar">
    <w:name w:val="Body Text Char"/>
    <w:aliases w:val="bt Char"/>
    <w:basedOn w:val="DefaultParagraphFont"/>
    <w:link w:val="BodyText"/>
    <w:rsid w:val="00F112CE"/>
    <w:rPr>
      <w:rFonts w:cs="Arial"/>
      <w:sz w:val="24"/>
      <w:szCs w:val="24"/>
      <w:lang w:val="en-US" w:eastAsia="en-US" w:bidi="ar-SA"/>
    </w:rPr>
  </w:style>
  <w:style w:type="character" w:customStyle="1" w:styleId="General1L5Char">
    <w:name w:val="General 1 L5 Char"/>
    <w:basedOn w:val="DefaultParagraphFont"/>
    <w:link w:val="General1L5"/>
    <w:rsid w:val="00C92C24"/>
    <w:rPr>
      <w:rFonts w:cs="Times New Roman"/>
      <w:sz w:val="24"/>
      <w:szCs w:val="24"/>
      <w:lang w:bidi="ar-AE"/>
    </w:rPr>
  </w:style>
  <w:style w:type="character" w:customStyle="1" w:styleId="General1L4Char">
    <w:name w:val="General 1 L4 Char"/>
    <w:basedOn w:val="DefaultParagraphFont"/>
    <w:link w:val="General1L4"/>
    <w:rsid w:val="00C92C24"/>
    <w:rPr>
      <w:rFonts w:cs="Times New Roman"/>
      <w:sz w:val="24"/>
      <w:szCs w:val="24"/>
      <w:lang w:bidi="ar-AE"/>
    </w:rPr>
  </w:style>
  <w:style w:type="paragraph" w:customStyle="1" w:styleId="FRAMemoCont3">
    <w:name w:val="FRAMemo Cont 3"/>
    <w:basedOn w:val="Normal"/>
    <w:rsid w:val="006E45FF"/>
    <w:pPr>
      <w:spacing w:after="240"/>
      <w:ind w:left="720"/>
    </w:pPr>
    <w:rPr>
      <w:rFonts w:cs="Times New Roman"/>
      <w:sz w:val="22"/>
      <w:szCs w:val="20"/>
      <w:lang w:val="en-GB"/>
    </w:rPr>
  </w:style>
  <w:style w:type="character" w:customStyle="1" w:styleId="Schedule1L3Char">
    <w:name w:val="Schedule 1 L3 Char"/>
    <w:basedOn w:val="BodyTextChar"/>
    <w:link w:val="Schedule1L3"/>
    <w:rsid w:val="002514CB"/>
    <w:rPr>
      <w:rFonts w:cs="Times New Roman"/>
      <w:sz w:val="24"/>
      <w:szCs w:val="24"/>
      <w:lang w:val="en-US" w:eastAsia="en-US" w:bidi="ar-AE"/>
    </w:rPr>
  </w:style>
  <w:style w:type="character" w:customStyle="1" w:styleId="BodyText1Char">
    <w:name w:val="BodyText 1 Char"/>
    <w:basedOn w:val="DefaultParagraphFont"/>
    <w:link w:val="BodyText1"/>
    <w:uiPriority w:val="1"/>
    <w:rsid w:val="00E06661"/>
    <w:rPr>
      <w:rFonts w:cs="Arial"/>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microsoft.com/office/2006/relationships/keyMapCustomizations" Target="customizations.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lma.eu.com/pages.aspx?p=499"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31794</Words>
  <Characters>181226</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2026-05-13T18:14:17Z</dcterms:created>
  <dcterms:modified xsi:type="dcterms:W3CDTF">2026-05-13T18:14:17Z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{REF:9999999999}</vt:lpwstr>
  </property>
  <property fmtid="{D5CDD505-2E9C-101B-9397-08002B2CF9AE}" pid="3" name="REF0">
    <vt:lpwstr>{REF0:9}</vt:lpwstr>
  </property>
  <property fmtid="{D5CDD505-2E9C-101B-9397-08002B2CF9AE}" pid="4" name="REF1">
    <vt:lpwstr>{REF1:999999}</vt:lpwstr>
  </property>
</Properties>
</file>